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中共西安高新科技职业学院委员会</w:t>
      </w:r>
    </w:p>
    <w:p>
      <w:pPr>
        <w:spacing w:line="560" w:lineRule="exact"/>
        <w:jc w:val="center"/>
        <w:rPr>
          <w:sz w:val="40"/>
          <w:szCs w:val="40"/>
        </w:rPr>
      </w:pPr>
      <w:r>
        <w:rPr>
          <w:rFonts w:hint="eastAsia" w:ascii="方正小标宋简体" w:hAnsi="方正小标宋简体" w:eastAsia="方正小标宋简体" w:cs="方正小标宋简体"/>
          <w:sz w:val="40"/>
          <w:szCs w:val="40"/>
        </w:rPr>
        <w:t>西安高新科技职业学院 2024年工作要点</w:t>
      </w:r>
    </w:p>
    <w:bookmarkEnd w:id="0"/>
    <w:p>
      <w:pPr>
        <w:ind w:firstLine="636"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2024年是新中国成立75周年，是实现“十四五”规划目标任务的关键一年，是教育强国规划纲要启动实施之年。2024年学院</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rPr>
        <w:t>工作总体要求是：以习近平新时代中国特色社会主义思想为指导，全面贯彻落实党的二十大和二十届二中全会精神，深入学习贯彻习近平总书记关于教育的重要论述和历次来陕考察重要讲话重要指示精神，</w:t>
      </w:r>
      <w:r>
        <w:rPr>
          <w:rFonts w:hint="eastAsia" w:ascii="仿宋_GB2312" w:hAnsi="仿宋_GB2312" w:eastAsia="仿宋_GB2312" w:cs="仿宋_GB2312"/>
          <w:sz w:val="32"/>
          <w:szCs w:val="36"/>
        </w:rPr>
        <w:t>全面</w:t>
      </w:r>
      <w:r>
        <w:rPr>
          <w:rFonts w:hint="eastAsia" w:ascii="仿宋_GB2312" w:hAnsi="仿宋_GB2312" w:eastAsia="仿宋_GB2312" w:cs="仿宋_GB2312"/>
          <w:sz w:val="32"/>
          <w:szCs w:val="36"/>
          <w:lang w:val="en-US" w:eastAsia="zh-CN"/>
        </w:rPr>
        <w:t>落实</w:t>
      </w:r>
      <w:r>
        <w:rPr>
          <w:rFonts w:ascii="Times New Roman" w:hAnsi="Times New Roman" w:eastAsia="仿宋_GB2312"/>
          <w:sz w:val="32"/>
          <w:szCs w:val="36"/>
        </w:rPr>
        <w:t>省委</w:t>
      </w:r>
      <w:r>
        <w:rPr>
          <w:rFonts w:hint="eastAsia" w:ascii="Times New Roman" w:hAnsi="Times New Roman" w:eastAsia="仿宋_GB2312"/>
          <w:sz w:val="32"/>
          <w:szCs w:val="36"/>
        </w:rPr>
        <w:t>教育工委</w:t>
      </w:r>
      <w:r>
        <w:rPr>
          <w:rFonts w:ascii="Times New Roman" w:hAnsi="Times New Roman" w:eastAsia="仿宋_GB2312"/>
          <w:sz w:val="32"/>
          <w:szCs w:val="36"/>
        </w:rPr>
        <w:t>、省</w:t>
      </w:r>
      <w:r>
        <w:rPr>
          <w:rFonts w:hint="eastAsia" w:ascii="Times New Roman" w:hAnsi="Times New Roman" w:eastAsia="仿宋_GB2312"/>
          <w:sz w:val="32"/>
          <w:szCs w:val="36"/>
        </w:rPr>
        <w:t>教育厅</w:t>
      </w:r>
      <w:r>
        <w:rPr>
          <w:rFonts w:ascii="Times New Roman" w:hAnsi="Times New Roman" w:eastAsia="仿宋_GB2312"/>
          <w:sz w:val="32"/>
          <w:szCs w:val="36"/>
        </w:rPr>
        <w:t>工作</w:t>
      </w:r>
      <w:r>
        <w:rPr>
          <w:rFonts w:hint="eastAsia" w:ascii="Times New Roman" w:hAnsi="Times New Roman" w:eastAsia="仿宋_GB2312"/>
          <w:sz w:val="32"/>
          <w:szCs w:val="36"/>
          <w:lang w:val="en-US" w:eastAsia="zh-CN"/>
        </w:rPr>
        <w:t>部署</w:t>
      </w:r>
      <w:r>
        <w:rPr>
          <w:rFonts w:ascii="Times New Roman" w:hAnsi="Times New Roman" w:eastAsia="仿宋_GB2312"/>
          <w:sz w:val="32"/>
          <w:szCs w:val="36"/>
        </w:rPr>
        <w:t>要求，</w:t>
      </w:r>
      <w:r>
        <w:rPr>
          <w:rFonts w:hint="eastAsia" w:ascii="仿宋_GB2312" w:hAnsi="仿宋_GB2312" w:eastAsia="仿宋_GB2312" w:cs="仿宋_GB2312"/>
          <w:sz w:val="32"/>
          <w:szCs w:val="32"/>
        </w:rPr>
        <w:t>全面贯彻党的教育方针，坚持社会主义办学方向，落实立德树人根本任务，持续巩固拓展主题教育成果，扎实推进党建与业务工作深度融合，努力推动学院内涵建设和高质量发展迈向新阶段，奋力谱写教育高质量发展新篇章。</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黑体" w:hAnsi="黑体" w:eastAsia="黑体" w:cs="黑体"/>
          <w:sz w:val="32"/>
          <w:szCs w:val="32"/>
        </w:rPr>
      </w:pPr>
      <w:r>
        <w:rPr>
          <w:rFonts w:hint="eastAsia" w:ascii="黑体" w:hAnsi="黑体" w:eastAsia="黑体" w:cs="黑体"/>
          <w:sz w:val="32"/>
          <w:szCs w:val="32"/>
        </w:rPr>
        <w:t>一、坚持和加强党的领导，坚定不移推进党的政治建设，全面提升党建引领力</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outlineLvl w:val="0"/>
        <w:rPr>
          <w:rFonts w:ascii="仿宋_GB2312" w:hAnsi="仿宋_GB2312" w:eastAsia="仿宋_GB2312" w:cs="仿宋_GB2312"/>
          <w:sz w:val="32"/>
          <w:szCs w:val="32"/>
        </w:rPr>
      </w:pPr>
      <w:r>
        <w:rPr>
          <w:rFonts w:hint="eastAsia" w:ascii="楷体_GB2312" w:hAnsi="楷体_GB2312" w:eastAsia="楷体_GB2312" w:cs="楷体_GB2312"/>
          <w:sz w:val="32"/>
          <w:szCs w:val="32"/>
        </w:rPr>
        <w:t>（一）坚持用习近平新时代中国特色社会主义思想铸魂育人。</w:t>
      </w:r>
      <w:r>
        <w:rPr>
          <w:rFonts w:hint="eastAsia" w:ascii="仿宋_GB2312" w:hAnsi="仿宋_GB2312" w:eastAsia="仿宋_GB2312" w:cs="仿宋_GB2312"/>
          <w:sz w:val="32"/>
          <w:szCs w:val="32"/>
        </w:rPr>
        <w:t>严格落实“第一议题”制度，认真贯彻落实习近平总书记关于教育的重要论述、历次来陕考察重要讲话重要指示精神，巩固拓展主题教育成果。深入推进习近平新时代中国特色社会主义思想和党的二十大精神进教材、进课堂、进头脑，开好讲好《习近平新时代中国特色社会主义思想概论》课，强化思政课教学改革和课程思政改革，坚定捍卫“两个确立”、坚决做到“两个维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firstLine="636"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rPr>
        <w:t>（二）坚持政治统领，强化思想建设。</w:t>
      </w:r>
      <w:r>
        <w:rPr>
          <w:rFonts w:hint="eastAsia" w:ascii="仿宋_GB2312" w:hAnsi="仿宋_GB2312" w:eastAsia="仿宋_GB2312" w:cs="仿宋_GB2312"/>
          <w:sz w:val="32"/>
          <w:szCs w:val="32"/>
        </w:rPr>
        <w:t>始终坚持把党的政治建设摆在首位，胸怀“两个大局”，心系“国之大者”，牢记“为党育人、为国育才”职责使命，</w:t>
      </w:r>
      <w:r>
        <w:rPr>
          <w:rFonts w:hint="eastAsia" w:ascii="仿宋_GB2312" w:hAnsi="仿宋_GB2312" w:eastAsia="仿宋_GB2312" w:cs="仿宋_GB2312"/>
          <w:sz w:val="32"/>
          <w:szCs w:val="32"/>
          <w:lang w:val="en-US" w:eastAsia="zh-CN"/>
        </w:rPr>
        <w:t>努力</w:t>
      </w:r>
      <w:r>
        <w:rPr>
          <w:rFonts w:hint="eastAsia" w:ascii="仿宋_GB2312" w:hAnsi="仿宋_GB2312" w:eastAsia="仿宋_GB2312" w:cs="仿宋_GB2312"/>
          <w:sz w:val="32"/>
          <w:szCs w:val="32"/>
        </w:rPr>
        <w:t>培养德智体美劳全面发展的社会主义建设者和接班人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坚持以学铸魂。以加强党的二十大和二十届二中全会精神学习教育为引领，持之以恒抓好学习贯彻习近平新时代中国特色社会主义思想的深化转化工作，推动党员干部坚持不懈读原著学原文悟原理，更加坚定自觉地用党的创新理论武装头脑、指导实践、推动工作。二是</w:t>
      </w:r>
      <w:r>
        <w:rPr>
          <w:rFonts w:hint="eastAsia" w:ascii="仿宋_GB2312" w:hAnsi="仿宋_GB2312" w:eastAsia="仿宋_GB2312" w:cs="仿宋_GB2312"/>
          <w:sz w:val="32"/>
          <w:szCs w:val="32"/>
        </w:rPr>
        <w:t>夯实思想基础。加强党章学习教育</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深化对党忠诚教育，努力从思想上正本清源、固本培元，坚定理想信念，铸牢对党忠诚，站稳人民立场，锤炼过硬政治品格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在政治立场、政治方向、政治原则、政治道路上同以习近平同志为核心的党中央保持高度一致。完善党委理论学习中心组学习制度，举办习近平新时代中国特色社会主义思想读书班，定期开展集体学习和研讨交流。</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强化党性教育。健全专题党课制度，党委班子成员每年到分管领域和部门等基层单位至少讲1次专题党课，重点讲学习运用党的创新理论的收获体会。基层党支部书记联系实际讲好党课。丰富开展党性教育活动，通过重温入党誓词、过“政治生日”等形式，就近便利用好红色资源、党性教育培训机构，学习先进典型和身边榜样，引导党员、干部筑牢信仰之基、补足精神之钙、把稳思想之舵，始终忠诚于党、忠诚于人民、忠诚于马克思主义。</w:t>
      </w:r>
      <w:r>
        <w:rPr>
          <w:rFonts w:hint="eastAsia" w:ascii="仿宋_GB2312" w:hAnsi="仿宋_GB2312" w:eastAsia="仿宋_GB2312" w:cs="仿宋_GB2312"/>
          <w:sz w:val="32"/>
          <w:szCs w:val="32"/>
          <w:lang w:val="en-US" w:eastAsia="zh-CN"/>
        </w:rPr>
        <w:t>四是抓实经常性学习教育。常态化长效化开展党史学习教育，持续巩固拓展主题教育成果，开展党的宗旨教育、革命传统教育和爱国主义教育等。突出抓好党员理论学习，落实“三会一课”、主题党日等制度，采取课堂讲授、政策解读、案例教学、现场体验、线上互动等方式，推动党的创新理论学习走深走实走心。</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楷体_GB2312" w:hAnsi="楷体_GB2312" w:eastAsia="黑体" w:cs="楷体_GB2312"/>
          <w:b/>
          <w:bCs/>
          <w:sz w:val="32"/>
          <w:szCs w:val="32"/>
        </w:rPr>
      </w:pPr>
      <w:r>
        <w:rPr>
          <w:rFonts w:hint="eastAsia" w:ascii="黑体" w:hAnsi="黑体" w:eastAsia="黑体" w:cs="黑体"/>
          <w:sz w:val="32"/>
          <w:szCs w:val="32"/>
        </w:rPr>
        <w:t>二、加强组织建设，不断巩固基层党建堡垒</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是要严格落实基层党建工作责任制，夯实基层党建基础，规范党内政治生活，严格执行“三会一课”、党员领导干部双重组织生活、民主评议党员等基本制度，丰富党支部主题党日形式和内容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凝聚起推动学院高质量发展磅礴力量。</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要进一步加强基层党组织建设，完善基层组织机构。深化基层组织示范创建、质量创优“双创”工作，充分发挥学院现有的省级党建工作标杆党支部示范引领作用，对标对表，加强校级、省级党建工作标杆党支部建设，培育并争创全国党建工作标杆党支部建设。</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是要充分</w:t>
      </w:r>
      <w:r>
        <w:rPr>
          <w:rFonts w:ascii="Times New Roman" w:hAnsi="Times New Roman" w:eastAsia="仿宋_GB2312"/>
          <w:sz w:val="32"/>
          <w:szCs w:val="32"/>
        </w:rPr>
        <w:t>发挥党组织战斗堡垒作用和党员先锋模范作用</w:t>
      </w:r>
      <w:r>
        <w:rPr>
          <w:rFonts w:hint="eastAsia" w:ascii="Times New Roman" w:hAnsi="Times New Roman" w:eastAsia="仿宋_GB2312"/>
          <w:sz w:val="32"/>
          <w:szCs w:val="32"/>
        </w:rPr>
        <w:t>，</w:t>
      </w:r>
      <w:r>
        <w:rPr>
          <w:rFonts w:ascii="Times New Roman" w:hAnsi="Times New Roman" w:eastAsia="仿宋_GB2312"/>
          <w:sz w:val="32"/>
          <w:szCs w:val="32"/>
        </w:rPr>
        <w:t>推动基层党组织全面进步、全面过硬。</w:t>
      </w:r>
      <w:r>
        <w:rPr>
          <w:rFonts w:hint="eastAsia" w:ascii="Times New Roman" w:hAnsi="Times New Roman" w:eastAsia="仿宋_GB2312"/>
          <w:sz w:val="32"/>
          <w:szCs w:val="36"/>
        </w:rPr>
        <w:t>要</w:t>
      </w:r>
      <w:r>
        <w:rPr>
          <w:rFonts w:ascii="Times New Roman" w:hAnsi="Times New Roman" w:eastAsia="仿宋_GB2312"/>
          <w:sz w:val="32"/>
          <w:szCs w:val="36"/>
        </w:rPr>
        <w:t>全覆盖推动教师党支部“双带头人”培育工程，持续深化党建“双创”，围绕</w:t>
      </w:r>
      <w:r>
        <w:rPr>
          <w:rFonts w:hint="eastAsia" w:ascii="Times New Roman" w:hAnsi="Times New Roman" w:eastAsia="仿宋_GB2312"/>
          <w:sz w:val="32"/>
          <w:szCs w:val="36"/>
        </w:rPr>
        <w:t>抓好学院内涵建设</w:t>
      </w:r>
      <w:r>
        <w:rPr>
          <w:rFonts w:ascii="Times New Roman" w:hAnsi="Times New Roman" w:eastAsia="仿宋_GB2312"/>
          <w:sz w:val="32"/>
          <w:szCs w:val="32"/>
        </w:rPr>
        <w:t>和服务师生群众的实事抓党建，推动党的政治优势、组织优势转化为推进</w:t>
      </w:r>
      <w:r>
        <w:rPr>
          <w:rFonts w:hint="eastAsia" w:ascii="Times New Roman" w:hAnsi="Times New Roman" w:eastAsia="仿宋_GB2312"/>
          <w:sz w:val="32"/>
          <w:szCs w:val="32"/>
        </w:rPr>
        <w:t>学院高质量发展的</w:t>
      </w:r>
      <w:r>
        <w:rPr>
          <w:rFonts w:ascii="Times New Roman" w:hAnsi="Times New Roman" w:eastAsia="仿宋_GB2312"/>
          <w:sz w:val="32"/>
          <w:szCs w:val="32"/>
        </w:rPr>
        <w:t>胜势。</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是扎实做好“两优一先”表彰工作，表彰一批在教学、管理、后勤保障工作岗位上做出突出贡献的先进基层党组织、优秀共产党员、优秀党务工作者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发挥党员和党支部示范引领作用，持续激发团结奋斗干事创业热情活力。</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是要始终强化党员规范管理，建立组织关系转入、组织关系转出工作台账，尤其是认真做好毕业生党员工作。</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楷体_GB2312" w:hAnsi="楷体_GB2312" w:eastAsia="楷体_GB2312" w:cs="楷体_GB2312"/>
          <w:sz w:val="32"/>
          <w:szCs w:val="32"/>
        </w:rPr>
      </w:pPr>
      <w:r>
        <w:rPr>
          <w:rFonts w:hint="eastAsia" w:ascii="黑体" w:hAnsi="黑体" w:eastAsia="黑体" w:cs="黑体"/>
          <w:sz w:val="32"/>
          <w:szCs w:val="32"/>
        </w:rPr>
        <w:t>三、全面实施立德树人工程，积极探索立德树人工作的实招硬招，真正把立德树人工作落到实处</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一是实施立德树人工程，建立思政课教师+辅导员十专业课教师=育人共同体，聚焦“崇理想、重使命、尚气节、强科学、贵实践”五大主题，加强师德师风教育，严格师德管理，</w:t>
      </w:r>
      <w:r>
        <w:rPr>
          <w:rFonts w:hint="eastAsia" w:ascii="仿宋_GB2312" w:hAnsi="仿宋_GB2312" w:eastAsia="仿宋_GB2312" w:cs="仿宋_GB2312"/>
          <w:color w:val="000000"/>
          <w:kern w:val="0"/>
          <w:sz w:val="32"/>
          <w:szCs w:val="32"/>
        </w:rPr>
        <w:t>着力构建落实立德树人根本任务新生态新格局，</w:t>
      </w:r>
      <w:r>
        <w:rPr>
          <w:rFonts w:hint="eastAsia" w:ascii="仿宋_GB2312" w:hAnsi="仿宋_GB2312" w:eastAsia="仿宋_GB2312" w:cs="仿宋_GB2312"/>
          <w:sz w:val="32"/>
          <w:szCs w:val="32"/>
        </w:rPr>
        <w:t>提升教师获得感、幸福感和归属感。二是要加强学院教师队伍思想政治工作，</w:t>
      </w:r>
      <w:r>
        <w:rPr>
          <w:rFonts w:hint="eastAsia" w:ascii="仿宋_GB2312" w:hAnsi="仿宋_GB2312" w:eastAsia="仿宋_GB2312" w:cs="仿宋_GB2312"/>
          <w:color w:val="000000"/>
          <w:kern w:val="0"/>
          <w:sz w:val="32"/>
          <w:szCs w:val="32"/>
        </w:rPr>
        <w:t>不断健全“大思政课”建设工作机制，强化思政课教师、辅导员队伍建设，要在全省</w:t>
      </w:r>
      <w:r>
        <w:rPr>
          <w:rFonts w:hint="eastAsia" w:ascii="仿宋_GB2312" w:hAnsi="仿宋_GB2312" w:eastAsia="仿宋_GB2312" w:cs="仿宋_GB2312"/>
          <w:sz w:val="32"/>
          <w:szCs w:val="32"/>
        </w:rPr>
        <w:t>思政课教师大练兵有突破。三是加强学生心理健康教育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健全心理健康教育、监测预警、咨询服务、干预处置“四位一体”工作机制，</w:t>
      </w:r>
      <w:r>
        <w:rPr>
          <w:rStyle w:val="11"/>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rPr>
        <w:t>重点人群关心关爱机制，</w:t>
      </w:r>
      <w:r>
        <w:rPr>
          <w:rStyle w:val="11"/>
          <w:rFonts w:hint="eastAsia" w:ascii="仿宋_GB2312" w:hAnsi="仿宋_GB2312" w:eastAsia="仿宋_GB2312" w:cs="仿宋_GB2312"/>
          <w:sz w:val="32"/>
          <w:szCs w:val="32"/>
        </w:rPr>
        <w:t>做好心</w:t>
      </w:r>
      <w:r>
        <w:rPr>
          <w:rFonts w:hint="eastAsia" w:ascii="仿宋_GB2312" w:hAnsi="仿宋_GB2312" w:eastAsia="仿宋_GB2312" w:cs="仿宋_GB2312"/>
          <w:sz w:val="32"/>
          <w:szCs w:val="32"/>
        </w:rPr>
        <w:t>理问题防范工作，</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提升大学生心理健康整体水平。</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黑体" w:hAnsi="黑体" w:eastAsia="黑体" w:cs="黑体"/>
          <w:sz w:val="32"/>
          <w:szCs w:val="32"/>
        </w:rPr>
      </w:pPr>
      <w:r>
        <w:rPr>
          <w:rFonts w:hint="eastAsia" w:ascii="黑体" w:hAnsi="黑体" w:eastAsia="黑体" w:cs="黑体"/>
          <w:sz w:val="32"/>
          <w:szCs w:val="32"/>
        </w:rPr>
        <w:t>四、全面从严治党，持续正风肃纪，涵养风清气正的政治生态</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rPr>
        <w:t>一是</w:t>
      </w:r>
      <w:r>
        <w:rPr>
          <w:rFonts w:hint="eastAsia" w:ascii="Times New Roman" w:hAnsi="Times New Roman" w:eastAsia="仿宋_GB2312" w:cs="Times New Roman"/>
          <w:kern w:val="0"/>
          <w:sz w:val="32"/>
          <w:szCs w:val="32"/>
        </w:rPr>
        <w:t>纵深推进全面从严治党。</w:t>
      </w:r>
      <w:r>
        <w:rPr>
          <w:rFonts w:ascii="Times New Roman" w:hAnsi="Times New Roman" w:eastAsia="仿宋_GB2312" w:cs="Times New Roman"/>
          <w:kern w:val="0"/>
          <w:sz w:val="32"/>
          <w:szCs w:val="32"/>
        </w:rPr>
        <w:t>深</w:t>
      </w:r>
      <w:r>
        <w:rPr>
          <w:rFonts w:ascii="Times New Roman" w:hAnsi="Times New Roman" w:eastAsia="仿宋_GB2312"/>
          <w:kern w:val="0"/>
          <w:sz w:val="32"/>
          <w:szCs w:val="32"/>
        </w:rPr>
        <w:t>入学习贯彻新修订的《中国共产党纪律处分条例》</w:t>
      </w:r>
      <w:r>
        <w:rPr>
          <w:rFonts w:hint="eastAsia" w:ascii="Times New Roman" w:hAnsi="Times New Roman" w:eastAsia="仿宋_GB2312"/>
          <w:kern w:val="0"/>
          <w:sz w:val="32"/>
          <w:szCs w:val="32"/>
          <w:lang w:val="en-US" w:eastAsia="zh-CN"/>
        </w:rPr>
        <w:t>和</w:t>
      </w:r>
      <w:r>
        <w:rPr>
          <w:rFonts w:hint="eastAsia" w:ascii="仿宋_GB2312" w:hAnsi="仿宋_GB2312" w:eastAsia="仿宋_GB2312" w:cs="仿宋_GB2312"/>
          <w:sz w:val="32"/>
          <w:szCs w:val="32"/>
        </w:rPr>
        <w:t>监督落实中央八项规定精神</w:t>
      </w:r>
      <w:r>
        <w:rPr>
          <w:rFonts w:ascii="Times New Roman" w:hAnsi="Times New Roman" w:eastAsia="仿宋_GB2312"/>
          <w:kern w:val="0"/>
          <w:sz w:val="32"/>
          <w:szCs w:val="32"/>
        </w:rPr>
        <w:t>，</w:t>
      </w:r>
      <w:r>
        <w:rPr>
          <w:rFonts w:hint="eastAsia" w:ascii="仿宋_GB2312" w:hAnsi="仿宋_GB2312" w:eastAsia="仿宋_GB2312" w:cs="仿宋_GB2312"/>
          <w:sz w:val="32"/>
          <w:szCs w:val="32"/>
        </w:rPr>
        <w:t>坚持党纪党风一起抓，严格执行党的各项纪律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加强学院干部作风建设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坚持全面从严治党向基层延伸，坚持问题导向，</w:t>
      </w:r>
      <w:r>
        <w:rPr>
          <w:rFonts w:hint="eastAsia" w:ascii="仿宋_GB2312" w:hAnsi="仿宋_GB2312" w:eastAsia="仿宋_GB2312" w:cs="仿宋_GB2312"/>
          <w:sz w:val="32"/>
          <w:szCs w:val="32"/>
          <w:lang w:val="en-US" w:eastAsia="zh-CN"/>
        </w:rPr>
        <w:t>深入开展</w:t>
      </w:r>
      <w:r>
        <w:rPr>
          <w:rFonts w:hint="eastAsia" w:ascii="仿宋_GB2312" w:hAnsi="仿宋_GB2312" w:eastAsia="仿宋_GB2312" w:cs="仿宋_GB2312"/>
          <w:sz w:val="32"/>
          <w:szCs w:val="32"/>
        </w:rPr>
        <w:t>查处基层“微腐败”问题专项整治，以及关于整治形式主义突出问题为基层减负专项整治等，深入推进基层不良现象专项整治走深走实。</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常态开展纪律警示教育。认真落实党风廉政建设责任制，</w:t>
      </w:r>
      <w:r>
        <w:rPr>
          <w:rFonts w:ascii="Times New Roman" w:hAnsi="Times New Roman" w:eastAsia="仿宋_GB2312"/>
          <w:kern w:val="0"/>
          <w:sz w:val="32"/>
          <w:szCs w:val="32"/>
        </w:rPr>
        <w:t>常态化开展纪律教育和警示教育，</w:t>
      </w:r>
      <w:r>
        <w:rPr>
          <w:rFonts w:hint="eastAsia" w:ascii="仿宋_GB2312" w:hAnsi="仿宋_GB2312" w:eastAsia="仿宋_GB2312" w:cs="仿宋_GB2312"/>
          <w:sz w:val="32"/>
          <w:szCs w:val="32"/>
        </w:rPr>
        <w:t>把党风廉政建设纳入学院日常工作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扎实开展廉政教育，把纪律教育融入日常管理监督，通过典型案件通报、警示教育等方式，促进党员干部增强纪律意识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督促党员领导干部严于律己、严负其责、严管所辖。</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黑体" w:hAnsi="黑体" w:eastAsia="黑体" w:cs="黑体"/>
          <w:sz w:val="32"/>
          <w:szCs w:val="32"/>
        </w:rPr>
      </w:pPr>
      <w:r>
        <w:rPr>
          <w:rFonts w:hint="eastAsia" w:ascii="黑体" w:hAnsi="黑体" w:eastAsia="黑体" w:cs="黑体"/>
          <w:sz w:val="32"/>
          <w:szCs w:val="32"/>
        </w:rPr>
        <w:t>五、强化宣传思想工作，持续打造立体宣传矩阵</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认真落实习近平文化思想和习近平总书记关于网络强国的重要思想，要深刻理解习近平文化思想的核心要义、丰富内涵和实践要求，自觉把习近平文化思想落实到办学治学、立德树人的各方面、全过程。</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以丰富多彩的形式，在广大师生中深入开展党的二十大和二十届二中全会精神、全国两会精神等内容的学习宣传教育。</w:t>
      </w:r>
      <w:r>
        <w:rPr>
          <w:rFonts w:hint="eastAsia" w:ascii="仿宋_GB2312" w:hAnsi="仿宋_GB2312" w:eastAsia="仿宋_GB2312" w:cs="仿宋_GB2312"/>
          <w:sz w:val="32"/>
          <w:szCs w:val="32"/>
          <w:lang w:val="en-US" w:eastAsia="zh-CN"/>
        </w:rPr>
        <w:t>二是加快</w:t>
      </w:r>
      <w:r>
        <w:rPr>
          <w:rFonts w:hint="eastAsia" w:ascii="仿宋_GB2312" w:hAnsi="仿宋_GB2312" w:eastAsia="仿宋_GB2312" w:cs="仿宋_GB2312"/>
          <w:sz w:val="32"/>
          <w:szCs w:val="32"/>
        </w:rPr>
        <w:t>构建网络立体宣传矩阵，加强新媒体和宣传矩阵管理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健全完善协同发力的宣传工作机制，强化师生全员宣传意识，加强宣传队伍培训，拓展创新对外宣传渠道，增强对外传播的影响力。</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加强校园文化建设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培育和践行社会主义核心价值观，开展丰富多彩、积极向上的校园文化活动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持续塑造红色育人品牌，传承红色基因，健全文明实践志愿服务体系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加强理想信念教育，开展中国特色社会主义、传承中华优秀传统文化、铸牢中华民族共同体意识、宪法法治宣传教育等，培育和践行社会主义核心价值观。</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36"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坚持党建与业务深度融合</w:t>
      </w:r>
      <w:r>
        <w:rPr>
          <w:rFonts w:hint="eastAsia" w:ascii="黑体" w:hAnsi="黑体" w:eastAsia="黑体" w:cs="黑体"/>
          <w:sz w:val="32"/>
          <w:szCs w:val="32"/>
          <w:lang w:eastAsia="zh-CN"/>
        </w:rPr>
        <w:t>，</w:t>
      </w:r>
      <w:r>
        <w:rPr>
          <w:rFonts w:hint="eastAsia" w:ascii="黑体" w:hAnsi="黑体" w:eastAsia="黑体" w:cs="黑体"/>
          <w:sz w:val="32"/>
          <w:szCs w:val="32"/>
        </w:rPr>
        <w:t>促进内涵建设走实走实，推动学院高质量发展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6" w:firstLineChars="200"/>
        <w:jc w:val="both"/>
        <w:textAlignment w:val="auto"/>
        <w:rPr>
          <w:rFonts w:hint="eastAsia" w:ascii="黑体" w:hAnsi="黑体" w:eastAsia="黑体" w:cs="黑体"/>
          <w:sz w:val="32"/>
          <w:szCs w:val="32"/>
        </w:rPr>
      </w:pPr>
      <w:r>
        <w:rPr>
          <w:rFonts w:hint="eastAsia" w:ascii="楷体_GB2312" w:hAnsi="楷体_GB2312" w:eastAsia="楷体_GB2312" w:cs="楷体_GB2312"/>
          <w:kern w:val="2"/>
          <w:sz w:val="32"/>
          <w:szCs w:val="32"/>
        </w:rPr>
        <w:t>（一）用习近平新时代中国特色社会主义思想武装头脑，全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面提升学院内涵建设和办学质量。</w:t>
      </w:r>
      <w:r>
        <w:rPr>
          <w:rFonts w:hint="eastAsia" w:ascii="仿宋_GB2312" w:hAnsi="仿宋_GB2312" w:eastAsia="仿宋_GB2312" w:cs="仿宋_GB2312"/>
          <w:kern w:val="2"/>
          <w:sz w:val="32"/>
          <w:szCs w:val="32"/>
        </w:rPr>
        <w:t>深入学习贯彻落实习近平总书记关于实施教育强国战略、关于践行弘扬教育家精神的重要指示精神，用党的创新理论武装全体党员干部，建强党组织战斗堡垒，充分发挥基层党组织和党员先锋模范作用，持续强化师德师风建设，巩固深化主题教育成果，推动党建与学院中心工作深度融合，为学院内涵建设凝聚起强大精神力量，奋力谱写学院高质量发展新篇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36" w:firstLineChars="200"/>
        <w:jc w:val="both"/>
        <w:textAlignment w:val="auto"/>
        <w:rPr>
          <w:rFonts w:ascii="仿宋_GB2312" w:hAnsi="仿宋_GB2312" w:eastAsia="仿宋_GB2312" w:cs="仿宋_GB2312"/>
          <w:color w:val="FF0000"/>
          <w:sz w:val="32"/>
          <w:szCs w:val="32"/>
        </w:rPr>
      </w:pPr>
      <w:r>
        <w:rPr>
          <w:rFonts w:hint="eastAsia" w:ascii="楷体_GB2312" w:hAnsi="楷体_GB2312" w:eastAsia="楷体_GB2312" w:cs="楷体_GB2312"/>
          <w:kern w:val="2"/>
          <w:sz w:val="32"/>
          <w:szCs w:val="32"/>
        </w:rPr>
        <w:t>（二）坚持不懈抓好党委理论中心学习，提升学习质量，</w:t>
      </w:r>
      <w:r>
        <w:rPr>
          <w:rFonts w:hint="eastAsia" w:ascii="楷体_GB2312" w:hAnsi="楷体_GB2312" w:eastAsia="楷体_GB2312" w:cs="楷体_GB2312"/>
          <w:kern w:val="2"/>
          <w:sz w:val="32"/>
          <w:szCs w:val="32"/>
          <w:lang w:eastAsia="zh-CN"/>
        </w:rPr>
        <w:t>推</w:t>
      </w:r>
      <w:r>
        <w:rPr>
          <w:rFonts w:hint="eastAsia" w:ascii="楷体_GB2312" w:hAnsi="楷体_GB2312" w:eastAsia="楷体_GB2312" w:cs="楷体_GB2312"/>
          <w:kern w:val="2"/>
          <w:sz w:val="32"/>
          <w:szCs w:val="32"/>
        </w:rPr>
        <w:t>动工作提质增效。</w:t>
      </w:r>
      <w:r>
        <w:rPr>
          <w:rFonts w:hint="eastAsia" w:ascii="Times New Roman" w:hAnsi="Times New Roman" w:eastAsia="仿宋_GB2312"/>
          <w:kern w:val="2"/>
          <w:sz w:val="32"/>
          <w:szCs w:val="32"/>
        </w:rPr>
        <w:t>一是要提升学习质量。坚持把中心组学习列入重要议事日程，围绕学习内容统筹安排专题学习，进一步提高学习的制度化、规范化水平。及时配齐学习资料、做好学习记录等，推动理论学习深入开展，做到有计划、有记录、有总结，确保人员、内容、学时“三落实”。</w:t>
      </w:r>
      <w:r>
        <w:rPr>
          <w:rFonts w:hint="eastAsia" w:ascii="Times New Roman" w:hAnsi="Times New Roman" w:eastAsia="仿宋_GB2312"/>
          <w:kern w:val="2"/>
          <w:sz w:val="32"/>
          <w:szCs w:val="32"/>
          <w:lang w:val="en-US" w:eastAsia="zh-CN"/>
        </w:rPr>
        <w:t>二</w:t>
      </w:r>
      <w:r>
        <w:rPr>
          <w:rFonts w:hint="eastAsia" w:ascii="Times New Roman" w:hAnsi="Times New Roman" w:eastAsia="仿宋_GB2312"/>
          <w:kern w:val="2"/>
          <w:sz w:val="32"/>
          <w:szCs w:val="32"/>
        </w:rPr>
        <w:t>是持续改进学风。坚持理论联系实际，把理论学习同指导工作结合起来，与转变思想作风和工作作风结合起来，与研究业务工作结合起来，深入基层调研，开展主动服务，关心基层一线，在统揽全局上下功夫，在提高业务研究分析上下功夫，在抓工作强素质上下功夫，学以致</w:t>
      </w:r>
      <w:r>
        <w:rPr>
          <w:rFonts w:hint="eastAsia" w:ascii="Times New Roman" w:hAnsi="Times New Roman" w:eastAsia="仿宋_GB2312"/>
          <w:color w:val="auto"/>
          <w:kern w:val="2"/>
          <w:sz w:val="32"/>
          <w:szCs w:val="32"/>
        </w:rPr>
        <w:t>用、用以促学</w:t>
      </w:r>
      <w:r>
        <w:rPr>
          <w:rFonts w:hint="eastAsia" w:ascii="Times New Roman" w:hAnsi="Times New Roman" w:eastAsia="仿宋_GB2312"/>
          <w:kern w:val="2"/>
          <w:sz w:val="32"/>
          <w:szCs w:val="32"/>
        </w:rPr>
        <w:t>，真正达到武装头脑、指导实践、推动工作的目的。</w:t>
      </w:r>
    </w:p>
    <w:p>
      <w:pPr>
        <w:pStyle w:val="6"/>
        <w:keepNext w:val="0"/>
        <w:keepLines w:val="0"/>
        <w:pageBreakBefore w:val="0"/>
        <w:kinsoku/>
        <w:wordWrap/>
        <w:overflowPunct/>
        <w:topLinePunct w:val="0"/>
        <w:autoSpaceDE/>
        <w:autoSpaceDN/>
        <w:bidi w:val="0"/>
        <w:adjustRightInd/>
        <w:snapToGrid/>
        <w:spacing w:before="0" w:after="0" w:line="240" w:lineRule="auto"/>
        <w:ind w:left="0" w:right="0" w:firstLine="676" w:firstLineChars="200"/>
        <w:jc w:val="both"/>
        <w:textAlignment w:val="auto"/>
        <w:rPr>
          <w:rFonts w:hint="eastAsia" w:hAnsi="仿宋_GB2312" w:cs="仿宋_GB2312"/>
          <w:color w:val="auto"/>
          <w:szCs w:val="32"/>
          <w:lang w:val="en-US"/>
        </w:rPr>
      </w:pPr>
      <w:r>
        <w:rPr>
          <w:rFonts w:hint="eastAsia" w:ascii="楷体_GB2312" w:hAnsi="楷体_GB2312" w:eastAsia="楷体_GB2312" w:cs="楷体_GB2312"/>
          <w:color w:val="auto"/>
          <w:spacing w:val="10"/>
          <w:szCs w:val="32"/>
          <w:lang w:val="en-US"/>
        </w:rPr>
        <w:t>（三）持续加大投入，进一步推进内涵建设，不断提升教育教学水平。</w:t>
      </w:r>
      <w:r>
        <w:rPr>
          <w:rFonts w:hint="eastAsia" w:hAnsi="仿宋_GB2312" w:cs="仿宋_GB2312"/>
          <w:color w:val="auto"/>
          <w:szCs w:val="32"/>
          <w:lang w:val="en-US"/>
        </w:rPr>
        <w:t>一是加快</w:t>
      </w:r>
      <w:r>
        <w:rPr>
          <w:rFonts w:hint="eastAsia" w:hAnsi="仿宋_GB2312" w:cs="仿宋_GB2312"/>
          <w:color w:val="auto"/>
          <w:szCs w:val="32"/>
        </w:rPr>
        <w:t>学院科创行政大楼、</w:t>
      </w:r>
      <w:r>
        <w:rPr>
          <w:rFonts w:hint="eastAsia" w:hAnsi="仿宋_GB2312" w:cs="仿宋_GB2312"/>
          <w:color w:val="auto"/>
          <w:szCs w:val="32"/>
          <w:lang w:val="en-US"/>
        </w:rPr>
        <w:t>公寓楼、新</w:t>
      </w:r>
      <w:r>
        <w:rPr>
          <w:rFonts w:hint="eastAsia" w:hAnsi="仿宋_GB2312" w:cs="仿宋_GB2312"/>
          <w:color w:val="auto"/>
          <w:szCs w:val="32"/>
        </w:rPr>
        <w:t>图书馆</w:t>
      </w:r>
      <w:r>
        <w:rPr>
          <w:rFonts w:hint="eastAsia" w:hAnsi="仿宋_GB2312" w:cs="仿宋_GB2312"/>
          <w:color w:val="auto"/>
          <w:szCs w:val="32"/>
          <w:lang w:val="en-US"/>
        </w:rPr>
        <w:t>建设，保质保量</w:t>
      </w:r>
      <w:r>
        <w:rPr>
          <w:rFonts w:hint="eastAsia" w:hAnsi="仿宋_GB2312" w:cs="仿宋_GB2312"/>
          <w:color w:val="auto"/>
          <w:szCs w:val="32"/>
          <w:lang w:val="en-US" w:eastAsia="zh-CN"/>
        </w:rPr>
        <w:t>并确保</w:t>
      </w:r>
      <w:r>
        <w:rPr>
          <w:rFonts w:hint="eastAsia" w:hAnsi="仿宋_GB2312" w:cs="仿宋_GB2312"/>
          <w:color w:val="auto"/>
          <w:szCs w:val="32"/>
          <w:lang w:val="en-US"/>
        </w:rPr>
        <w:t>按期投入使用。二是要加快</w:t>
      </w:r>
      <w:r>
        <w:rPr>
          <w:rFonts w:hint="eastAsia" w:hAnsi="仿宋_GB2312" w:cs="仿宋_GB2312"/>
          <w:color w:val="auto"/>
          <w:szCs w:val="32"/>
        </w:rPr>
        <w:t>实验大楼</w:t>
      </w:r>
      <w:r>
        <w:rPr>
          <w:rFonts w:hint="eastAsia" w:hAnsi="仿宋_GB2312" w:cs="仿宋_GB2312"/>
          <w:color w:val="auto"/>
          <w:szCs w:val="32"/>
          <w:lang w:val="en-US"/>
        </w:rPr>
        <w:t>实验室、实训室，</w:t>
      </w:r>
      <w:r>
        <w:rPr>
          <w:rFonts w:hint="eastAsia" w:hAnsi="仿宋_GB2312" w:cs="仿宋_GB2312"/>
          <w:color w:val="auto"/>
          <w:szCs w:val="32"/>
          <w:lang w:val="en-US" w:eastAsia="zh-CN"/>
        </w:rPr>
        <w:t>以及</w:t>
      </w:r>
      <w:r>
        <w:rPr>
          <w:rFonts w:hint="eastAsia" w:hAnsi="仿宋_GB2312" w:cs="仿宋_GB2312"/>
          <w:color w:val="auto"/>
          <w:szCs w:val="32"/>
          <w:lang w:val="en-US"/>
        </w:rPr>
        <w:t>智慧教室、标准化考场及智慧校园信息化建设相关项目落地，</w:t>
      </w:r>
      <w:r>
        <w:rPr>
          <w:rFonts w:hint="eastAsia" w:hAnsi="仿宋_GB2312" w:cs="仿宋_GB2312"/>
          <w:color w:val="auto"/>
          <w:szCs w:val="32"/>
        </w:rPr>
        <w:t>为学生学习前沿的科学技术打造良好的平台。</w:t>
      </w:r>
      <w:r>
        <w:rPr>
          <w:rFonts w:hint="eastAsia" w:hAnsi="仿宋_GB2312" w:cs="仿宋_GB2312"/>
          <w:color w:val="auto"/>
          <w:szCs w:val="32"/>
          <w:lang w:val="en-US"/>
        </w:rPr>
        <w:t>三是要大力鼓励师生参与高水平科技竞赛，在互联网+创新创业大赛、全国数学建模大赛</w:t>
      </w:r>
      <w:r>
        <w:rPr>
          <w:rFonts w:hint="eastAsia" w:hAnsi="仿宋_GB2312" w:cs="仿宋_GB2312"/>
          <w:color w:val="auto"/>
          <w:szCs w:val="32"/>
          <w:lang w:val="en-US" w:eastAsia="zh-CN"/>
        </w:rPr>
        <w:t>和</w:t>
      </w:r>
      <w:r>
        <w:rPr>
          <w:rFonts w:hint="eastAsia" w:hAnsi="仿宋_GB2312" w:cs="仿宋_GB2312"/>
          <w:color w:val="auto"/>
          <w:szCs w:val="32"/>
          <w:lang w:val="en-US"/>
        </w:rPr>
        <w:t>职业院校技能竞赛等含金量很高的比赛中取得更大突破。四是</w:t>
      </w:r>
      <w:r>
        <w:rPr>
          <w:rFonts w:hint="eastAsia" w:hAnsi="仿宋_GB2312" w:cs="仿宋_GB2312"/>
          <w:color w:val="auto"/>
          <w:szCs w:val="32"/>
        </w:rPr>
        <w:t>引进一</w:t>
      </w:r>
      <w:r>
        <w:rPr>
          <w:rFonts w:hint="eastAsia" w:hAnsi="仿宋_GB2312" w:cs="仿宋_GB2312"/>
          <w:color w:val="auto"/>
          <w:szCs w:val="32"/>
          <w:lang w:val="en-US"/>
        </w:rPr>
        <w:t>批科技项目落地孵化，提升学院的科研软实力。五是提升各部门工作的计划与预决算能力、</w:t>
      </w:r>
      <w:r>
        <w:rPr>
          <w:rFonts w:hint="eastAsia" w:hAnsi="仿宋_GB2312" w:cs="仿宋_GB2312"/>
          <w:color w:val="auto"/>
          <w:szCs w:val="32"/>
          <w:lang w:val="en-US" w:eastAsia="zh-CN"/>
        </w:rPr>
        <w:t>教育</w:t>
      </w:r>
      <w:r>
        <w:rPr>
          <w:rFonts w:hint="eastAsia" w:hAnsi="仿宋_GB2312" w:cs="仿宋_GB2312"/>
          <w:color w:val="auto"/>
          <w:szCs w:val="32"/>
          <w:lang w:val="en-US"/>
        </w:rPr>
        <w:t>规律把握能力、数据收集与分析能力、文字表述与数据处理能力、执行效率与效力及成本核算能力等，对各部门进行效力效益评价。六是完善新一轮人才培养方案修订，教师考核标准修订</w:t>
      </w:r>
      <w:r>
        <w:rPr>
          <w:rFonts w:hint="eastAsia" w:hAnsi="仿宋_GB2312" w:cs="仿宋_GB2312"/>
          <w:color w:val="auto"/>
          <w:szCs w:val="32"/>
          <w:lang w:val="en-US" w:eastAsia="zh-CN"/>
        </w:rPr>
        <w:t>，</w:t>
      </w:r>
      <w:r>
        <w:rPr>
          <w:rFonts w:hint="eastAsia" w:hAnsi="仿宋_GB2312" w:cs="仿宋_GB2312"/>
          <w:color w:val="auto"/>
          <w:szCs w:val="32"/>
          <w:lang w:val="en-US"/>
        </w:rPr>
        <w:t>重视毕业设计与实习等评估要求。七是细化五年师资</w:t>
      </w:r>
      <w:r>
        <w:rPr>
          <w:rFonts w:hint="eastAsia" w:hAnsi="仿宋_GB2312" w:cs="仿宋_GB2312"/>
          <w:color w:val="auto"/>
          <w:szCs w:val="32"/>
          <w:lang w:val="en-US" w:eastAsia="zh-CN"/>
        </w:rPr>
        <w:t>队伍建设</w:t>
      </w:r>
      <w:r>
        <w:rPr>
          <w:rFonts w:hint="eastAsia" w:hAnsi="仿宋_GB2312" w:cs="仿宋_GB2312"/>
          <w:color w:val="auto"/>
          <w:szCs w:val="32"/>
          <w:lang w:val="en-US"/>
        </w:rPr>
        <w:t>规划，引进和挖掘潜能</w:t>
      </w:r>
      <w:r>
        <w:rPr>
          <w:rFonts w:hint="eastAsia" w:hAnsi="仿宋_GB2312" w:cs="仿宋_GB2312"/>
          <w:color w:val="auto"/>
          <w:szCs w:val="32"/>
          <w:lang w:val="en-US" w:eastAsia="zh-CN"/>
        </w:rPr>
        <w:t>相</w:t>
      </w:r>
      <w:r>
        <w:rPr>
          <w:rFonts w:hint="eastAsia" w:hAnsi="仿宋_GB2312" w:cs="仿宋_GB2312"/>
          <w:color w:val="auto"/>
          <w:szCs w:val="32"/>
          <w:lang w:val="en-US"/>
        </w:rPr>
        <w:t>结合，继续鼓励副教授承担教育教学重任，提升讲师</w:t>
      </w:r>
      <w:r>
        <w:rPr>
          <w:rFonts w:hint="eastAsia" w:hAnsi="仿宋_GB2312" w:cs="仿宋_GB2312"/>
          <w:color w:val="auto"/>
          <w:szCs w:val="32"/>
          <w:lang w:val="en-US" w:eastAsia="zh-CN"/>
        </w:rPr>
        <w:t>、</w:t>
      </w:r>
      <w:r>
        <w:rPr>
          <w:rFonts w:hint="eastAsia" w:hAnsi="仿宋_GB2312" w:cs="仿宋_GB2312"/>
          <w:color w:val="auto"/>
          <w:szCs w:val="32"/>
          <w:lang w:val="en-US"/>
        </w:rPr>
        <w:t>助教的质量，清晰完成全员能力基础测评。八是招生工作在内涵</w:t>
      </w:r>
      <w:r>
        <w:rPr>
          <w:rFonts w:hint="eastAsia" w:hAnsi="仿宋_GB2312" w:cs="仿宋_GB2312"/>
          <w:color w:val="auto"/>
          <w:szCs w:val="32"/>
          <w:lang w:val="en-US" w:eastAsia="zh-CN"/>
        </w:rPr>
        <w:t>建设方面上</w:t>
      </w:r>
      <w:r>
        <w:rPr>
          <w:rFonts w:hint="eastAsia" w:hAnsi="仿宋_GB2312" w:cs="仿宋_GB2312"/>
          <w:color w:val="auto"/>
          <w:szCs w:val="32"/>
          <w:lang w:val="en-US"/>
        </w:rPr>
        <w:t>水平，</w:t>
      </w:r>
      <w:r>
        <w:rPr>
          <w:rFonts w:hint="eastAsia" w:hAnsi="仿宋_GB2312" w:cs="仿宋_GB2312"/>
          <w:color w:val="auto"/>
          <w:szCs w:val="32"/>
          <w:lang w:val="en-US" w:eastAsia="zh-CN"/>
        </w:rPr>
        <w:t>不断</w:t>
      </w:r>
      <w:r>
        <w:rPr>
          <w:rFonts w:hint="eastAsia" w:hAnsi="仿宋_GB2312" w:cs="仿宋_GB2312"/>
          <w:color w:val="auto"/>
          <w:szCs w:val="32"/>
          <w:lang w:val="en-US"/>
        </w:rPr>
        <w:t>提升招生质量。</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（四）加强学院与勉县深度合作，助力勉县乡村振兴新格局。</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主动出击，想办法出实招，继续与勉县保持高效沟通机制，</w:t>
      </w:r>
      <w:r>
        <w:rPr>
          <w:rFonts w:hint="eastAsia" w:ascii="仿宋_GB2312" w:hAnsi="仿宋_GB2312" w:eastAsia="仿宋_GB2312" w:cs="仿宋_GB2312"/>
          <w:sz w:val="32"/>
          <w:szCs w:val="32"/>
          <w:shd w:val="clear" w:color="auto" w:fill="FFFFFF"/>
        </w:rPr>
        <w:t>积极探索帮扶工作的合作点、创新点，</w:t>
      </w:r>
      <w:r>
        <w:rPr>
          <w:rFonts w:hint="eastAsia" w:ascii="仿宋_GB2312" w:hAnsi="仿宋_GB2312" w:eastAsia="仿宋_GB2312" w:cs="仿宋_GB2312"/>
          <w:sz w:val="32"/>
          <w:szCs w:val="32"/>
        </w:rPr>
        <w:t>充分发挥学院人才、科技、专业、文化、培训等方面优势。以基础教育帮扶为抓手，持续做好教育帮扶、学业辅导、暑期支教等工作，整合校内电商商务专业资源，挖掘电商直播人才，</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农特产品销售</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，提升优质农特产品知名度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助力勉县乡村振兴新格局。</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（五）加强改进统战和群团工作，汇聚团结奋进的政治力量。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做好统战、民族工作。持续开展好统一战线工作，指导开展党外知识分子、少数民族学生学习贯彻党的二十大和二十届二中全会精神，持续开展民族团结和宗教政策宣传教育，不断加强对少数民族学生的教育管理服务，铸牢中华民族共同体意识。</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加强对群团工作的领导。深刻把握群团工作的特点和规律，完善工作机制，创新工作方法，不断提升群团组织的凝聚力感召力，推动群团工作上水平上台阶。</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（六）营造平安和谐的校园氛围，筑牢校园安全防线。</w:t>
      </w:r>
      <w:r>
        <w:rPr>
          <w:rFonts w:hint="eastAsia" w:ascii="仿宋_GB2312" w:hAnsi="仿宋_GB2312" w:eastAsia="仿宋_GB2312" w:cs="仿宋_GB2312"/>
          <w:sz w:val="32"/>
          <w:szCs w:val="32"/>
        </w:rPr>
        <w:t>以创建省级平安校园为抓手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构建和谐平安校园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守护师生安全。</w:t>
      </w: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sz w:val="32"/>
          <w:szCs w:val="32"/>
        </w:rPr>
        <w:t>构建学校安全稳定预防和责任体系，以安全教育、事故预防和突发事件应急处置为重点，推动人防、物防、技防标准化建设，加强国家安全教育，坚决维护政治安全和校园稳定。常态化开展重大决策稳定安全风险评估和分析研判，深入推进消防、燃气、食品安全、校舍和体育场馆、实验室、校车等风险隐患专项排查整治，进一步完善各项安全制度，持续深化爱国卫生运动，推动“平安校园”建设。</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认真落实意识形态工作责任制，牢牢把握意识形态工作的主动权，压紧压实意识形态工作责任制，加强意识形态阵地的建设和管理，积极构建意识形态闭环责任链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健全学院网络舆情风险评估机制和意识形态工作追责机制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铸牢校园安全防线。</w:t>
      </w:r>
    </w:p>
    <w:p>
      <w:pPr>
        <w:keepNext w:val="0"/>
        <w:keepLines w:val="0"/>
        <w:pageBreakBefore w:val="0"/>
        <w:kinsoku/>
        <w:wordWrap/>
        <w:overflowPunct/>
        <w:topLinePunct w:val="0"/>
        <w:autoSpaceDE/>
        <w:autoSpaceDN/>
        <w:bidi w:val="0"/>
        <w:adjustRightInd/>
        <w:snapToGrid/>
        <w:spacing w:line="240" w:lineRule="auto"/>
        <w:ind w:firstLine="636"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（七）充分发挥</w:t>
      </w:r>
      <w:r>
        <w:rPr>
          <w:rFonts w:hint="eastAsia" w:ascii="楷体_GB2312" w:hAnsi="楷体_GB2312" w:eastAsia="楷体_GB2312" w:cs="楷体_GB2312"/>
          <w:color w:val="000000"/>
          <w:sz w:val="32"/>
          <w:szCs w:val="32"/>
        </w:rPr>
        <w:t>“一站式”学生社区育人功能，</w:t>
      </w:r>
      <w:r>
        <w:rPr>
          <w:rFonts w:hint="eastAsia" w:ascii="楷体_GB2312" w:hAnsi="楷体_GB2312" w:eastAsia="楷体_GB2312" w:cs="楷体_GB2312"/>
          <w:sz w:val="32"/>
          <w:szCs w:val="32"/>
        </w:rPr>
        <w:t>努力构建学生教育管理与思想政治工作新生态，不断提升学生满意度。</w:t>
      </w: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rPr>
        <w:t>优化社区公共空间功能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社区、楼栋等为单位，开辟社区学习生活、健身健心、师生交流专门空间等。推进标准化建设，加强精细化管理，提升后勤服务质量，方便学生就近开展自我学习、文体生活、互动交流，形成良好的学习习惯、健康的生活方式、和谐的人际关系。</w:t>
      </w: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拓展社区文化育人功能。结合学校特色进行优化设计，吸引文化社团入驻，通过浸润式文化育人，增强学生文化自信和归属感。</w:t>
      </w:r>
      <w:r>
        <w:rPr>
          <w:rFonts w:hint="eastAsia" w:ascii="仿宋_GB2312" w:hAnsi="仿宋_GB2312" w:eastAsia="仿宋_GB2312" w:cs="仿宋_GB2312"/>
          <w:color w:val="000000"/>
          <w:sz w:val="32"/>
          <w:szCs w:val="32"/>
          <w:lang w:val="en-US" w:eastAsia="zh-CN"/>
        </w:rPr>
        <w:t>三是</w:t>
      </w:r>
      <w:r>
        <w:rPr>
          <w:rFonts w:hint="eastAsia" w:ascii="仿宋_GB2312" w:hAnsi="仿宋_GB2312" w:eastAsia="仿宋_GB2312" w:cs="仿宋_GB2312"/>
          <w:color w:val="000000"/>
          <w:sz w:val="32"/>
          <w:szCs w:val="32"/>
        </w:rPr>
        <w:t>拓展社区育人功能。以学生的需求为导向不断细化、整合现有资源，将学生思想问题与学习、生活、心理、职业发展等现实问题结合，将环境育人与知识育人、文化育人等相结合，拓展实践育人、学生管理等功能。</w:t>
      </w:r>
    </w:p>
    <w:p>
      <w:pPr>
        <w:keepNext w:val="0"/>
        <w:keepLines w:val="0"/>
        <w:pageBreakBefore w:val="0"/>
        <w:widowControl w:val="0"/>
        <w:kinsoku/>
        <w:wordWrap/>
        <w:overflowPunct/>
        <w:topLinePunct w:val="0"/>
        <w:autoSpaceDE/>
        <w:autoSpaceDN/>
        <w:bidi w:val="0"/>
        <w:adjustRightInd/>
        <w:snapToGrid/>
        <w:spacing w:line="240" w:lineRule="auto"/>
        <w:ind w:firstLine="636"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（八）强化“一把手工程”，构建全员抓就业工作格局，推动就业工作质量再创新高。</w:t>
      </w:r>
      <w:r>
        <w:rPr>
          <w:rFonts w:hint="eastAsia" w:ascii="仿宋_GB2312" w:hAnsi="仿宋_GB2312" w:eastAsia="仿宋_GB2312" w:cs="仿宋_GB2312"/>
          <w:color w:val="000000"/>
          <w:sz w:val="32"/>
          <w:szCs w:val="32"/>
        </w:rPr>
        <w:t>一是要举办各类各层次招聘会，为毕业生提供双选平台。二是要持续深入开展“访企拓岗促就业专项行动”，提升访企拓岗工作实效。三是要加强职业生涯教育和就业指导，为学生提供个性化、精准化、便捷化的就业指导服务，引导毕业生树立正确的成才观、职业观、就业观。四是要建立就业困难群体帮扶信息库，加强重点群体帮扶，建立帮扶工作台账，“一对一”提供精准就业帮扶，在就业指导、就业推荐、创新创业等方面加大帮扶力度。五是要做好毕业生征兵宣传工作，实行“全天候”工作制度，全力做好毕业生服务保障工作。六是做好专升本工作的宣传引导、报名、考试组织和录取信息反馈工作，确保学生通过专升本途径实现个人发展新目标。</w:t>
      </w:r>
    </w:p>
    <w:p>
      <w:pPr>
        <w:keepNext w:val="0"/>
        <w:keepLines w:val="0"/>
        <w:pageBreakBefore w:val="0"/>
        <w:widowControl w:val="0"/>
        <w:kinsoku/>
        <w:wordWrap/>
        <w:overflowPunct/>
        <w:topLinePunct w:val="0"/>
        <w:autoSpaceDE/>
        <w:autoSpaceDN/>
        <w:bidi w:val="0"/>
        <w:adjustRightInd/>
        <w:snapToGrid/>
        <w:spacing w:line="240" w:lineRule="auto"/>
        <w:ind w:firstLine="636"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118" w:afterLines="20" w:line="240" w:lineRule="auto"/>
        <w:jc w:val="both"/>
        <w:textAlignment w:val="auto"/>
        <w:rPr>
          <w:rFonts w:hint="eastAsia" w:ascii="仿宋_GB2312" w:hAnsi="仿宋_GB2312" w:eastAsia="仿宋_GB2312" w:cs="仿宋_GB2312"/>
          <w:color w:val="000000"/>
          <w:sz w:val="32"/>
          <w:szCs w:val="32"/>
          <w:lang w:val="en-US" w:eastAsia="zh-CN"/>
        </w:rPr>
      </w:pPr>
    </w:p>
    <w:sectPr>
      <w:footerReference r:id="rId3" w:type="default"/>
      <w:footerReference r:id="rId4" w:type="even"/>
      <w:pgSz w:w="11906" w:h="16838"/>
      <w:pgMar w:top="2098" w:right="1417" w:bottom="1984" w:left="1587" w:header="851" w:footer="1417" w:gutter="0"/>
      <w:pgBorders>
        <w:top w:val="none" w:sz="0" w:space="0"/>
        <w:left w:val="none" w:sz="0" w:space="0"/>
        <w:bottom w:val="none" w:sz="0" w:space="0"/>
        <w:right w:val="none" w:sz="0" w:space="0"/>
      </w:pgBorders>
      <w:pgNumType w:fmt="decimal"/>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0BEB44-6EAD-458F-A868-46226E8B6D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D3C4F1A-2A1D-4089-872A-B7B34CF4F333}"/>
  </w:font>
  <w:font w:name="方正小标宋简体">
    <w:panose1 w:val="03000509000000000000"/>
    <w:charset w:val="86"/>
    <w:family w:val="auto"/>
    <w:pitch w:val="default"/>
    <w:sig w:usb0="00000001" w:usb1="080E0000" w:usb2="00000000" w:usb3="00000000" w:csb0="00040000" w:csb1="00000000"/>
    <w:embedRegular r:id="rId3" w:fontKey="{5D7A291A-3C77-4620-9FEF-2F141180A65D}"/>
  </w:font>
  <w:font w:name="楷体_GB2312">
    <w:panose1 w:val="02010609030101010101"/>
    <w:charset w:val="86"/>
    <w:family w:val="modern"/>
    <w:pitch w:val="default"/>
    <w:sig w:usb0="00000001" w:usb1="080E0000" w:usb2="00000000" w:usb3="00000000" w:csb0="00040000" w:csb1="00000000"/>
    <w:embedRegular r:id="rId4" w:fontKey="{C686700F-BAAF-4212-90D4-86CE8E3670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right="320" w:rightChars="100"/>
                            <w:rPr>
                              <w:rFonts w:ascii="宋体" w:hAnsi="宋体" w:eastAsia="宋体" w:cs="宋体"/>
                              <w:sz w:val="28"/>
                              <w:szCs w:val="28"/>
                            </w:rPr>
                          </w:pPr>
                          <w:r>
                            <w:rPr>
                              <w:rStyle w:val="10"/>
                              <w:rFonts w:hint="eastAsia"/>
                              <w:sz w:val="28"/>
                            </w:rPr>
                            <w:t>—</w:t>
                          </w:r>
                          <w:r>
                            <w:rPr>
                              <w:rStyle w:val="10"/>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10"/>
                              <w:sz w:val="28"/>
                            </w:rPr>
                            <w:t xml:space="preserve"> </w:t>
                          </w:r>
                          <w:r>
                            <w:rPr>
                              <w:rStyle w:val="10"/>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ind w:left="320" w:leftChars="100" w:right="320" w:rightChars="100"/>
                      <w:rPr>
                        <w:rFonts w:ascii="宋体" w:hAnsi="宋体" w:eastAsia="宋体" w:cs="宋体"/>
                        <w:sz w:val="28"/>
                        <w:szCs w:val="28"/>
                      </w:rPr>
                    </w:pPr>
                    <w:r>
                      <w:rPr>
                        <w:rStyle w:val="10"/>
                        <w:rFonts w:hint="eastAsia"/>
                        <w:sz w:val="28"/>
                      </w:rPr>
                      <w:t>—</w:t>
                    </w:r>
                    <w:r>
                      <w:rPr>
                        <w:rStyle w:val="10"/>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10"/>
                        <w:sz w:val="28"/>
                      </w:rPr>
                      <w:t xml:space="preserve"> </w:t>
                    </w:r>
                    <w:r>
                      <w:rPr>
                        <w:rStyle w:val="10"/>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rPr>
                              <w:rFonts w:ascii="宋体" w:hAnsi="宋体" w:eastAsia="宋体" w:cs="宋体"/>
                              <w:sz w:val="28"/>
                              <w:szCs w:val="28"/>
                            </w:rPr>
                          </w:pPr>
                          <w:r>
                            <w:rPr>
                              <w:rStyle w:val="10"/>
                              <w:rFonts w:hint="eastAsia"/>
                              <w:sz w:val="28"/>
                            </w:rPr>
                            <w:t>—</w:t>
                          </w:r>
                          <w:r>
                            <w:rPr>
                              <w:rStyle w:val="10"/>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10"/>
                              <w:sz w:val="28"/>
                            </w:rPr>
                            <w:t xml:space="preserve"> </w:t>
                          </w:r>
                          <w:r>
                            <w:rPr>
                              <w:rStyle w:val="10"/>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ind w:left="320" w:leftChars="100"/>
                      <w:rPr>
                        <w:rFonts w:ascii="宋体" w:hAnsi="宋体" w:eastAsia="宋体" w:cs="宋体"/>
                        <w:sz w:val="28"/>
                        <w:szCs w:val="28"/>
                      </w:rPr>
                    </w:pPr>
                    <w:r>
                      <w:rPr>
                        <w:rStyle w:val="10"/>
                        <w:rFonts w:hint="eastAsia"/>
                        <w:sz w:val="28"/>
                      </w:rPr>
                      <w:t>—</w:t>
                    </w:r>
                    <w:r>
                      <w:rPr>
                        <w:rStyle w:val="10"/>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10"/>
                        <w:sz w:val="28"/>
                      </w:rPr>
                      <w:t xml:space="preserve"> </w:t>
                    </w:r>
                    <w:r>
                      <w:rPr>
                        <w:rStyle w:val="10"/>
                        <w:rFonts w:hint="eastAsia"/>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38B08"/>
    <w:multiLevelType w:val="singleLevel"/>
    <w:tmpl w:val="20838B0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9"/>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3ZGI4MDA0NGU3YWI2N2EzZWNhZGM4NzhkYmNiNzkifQ=="/>
  </w:docVars>
  <w:rsids>
    <w:rsidRoot w:val="00BC4F28"/>
    <w:rsid w:val="00042B1C"/>
    <w:rsid w:val="001A0654"/>
    <w:rsid w:val="001E45EE"/>
    <w:rsid w:val="002210B8"/>
    <w:rsid w:val="00476B45"/>
    <w:rsid w:val="00513BA3"/>
    <w:rsid w:val="007C7A9A"/>
    <w:rsid w:val="007E66AF"/>
    <w:rsid w:val="008425A0"/>
    <w:rsid w:val="008C1526"/>
    <w:rsid w:val="008E0AC7"/>
    <w:rsid w:val="009E5624"/>
    <w:rsid w:val="00B3202A"/>
    <w:rsid w:val="00B46747"/>
    <w:rsid w:val="00BC4F28"/>
    <w:rsid w:val="00CB1D81"/>
    <w:rsid w:val="00EC6825"/>
    <w:rsid w:val="00FF60BC"/>
    <w:rsid w:val="02D95560"/>
    <w:rsid w:val="0456701D"/>
    <w:rsid w:val="04C60843"/>
    <w:rsid w:val="05692B09"/>
    <w:rsid w:val="0DB70EE9"/>
    <w:rsid w:val="136E4B0F"/>
    <w:rsid w:val="149C3351"/>
    <w:rsid w:val="18F96DDC"/>
    <w:rsid w:val="1A344957"/>
    <w:rsid w:val="1A5609A0"/>
    <w:rsid w:val="1B9E314D"/>
    <w:rsid w:val="1C5928C6"/>
    <w:rsid w:val="1D3D27B6"/>
    <w:rsid w:val="1E002A77"/>
    <w:rsid w:val="21BB62FE"/>
    <w:rsid w:val="25F806BD"/>
    <w:rsid w:val="2DF168B5"/>
    <w:rsid w:val="2FBE55F0"/>
    <w:rsid w:val="32085A9D"/>
    <w:rsid w:val="354B4D8C"/>
    <w:rsid w:val="39C33AC1"/>
    <w:rsid w:val="3A4244B9"/>
    <w:rsid w:val="41344736"/>
    <w:rsid w:val="42304642"/>
    <w:rsid w:val="438B3D74"/>
    <w:rsid w:val="44466F10"/>
    <w:rsid w:val="47562667"/>
    <w:rsid w:val="4BAB2271"/>
    <w:rsid w:val="4C8D1398"/>
    <w:rsid w:val="4DB92A9C"/>
    <w:rsid w:val="4DD874D2"/>
    <w:rsid w:val="4DE4303F"/>
    <w:rsid w:val="4E7B0AA5"/>
    <w:rsid w:val="4F5B3FE1"/>
    <w:rsid w:val="5536145D"/>
    <w:rsid w:val="585F7035"/>
    <w:rsid w:val="58B85610"/>
    <w:rsid w:val="58C0337B"/>
    <w:rsid w:val="5B3416A5"/>
    <w:rsid w:val="5F983448"/>
    <w:rsid w:val="61FC659B"/>
    <w:rsid w:val="62752EA6"/>
    <w:rsid w:val="6BCF1393"/>
    <w:rsid w:val="6EC7403C"/>
    <w:rsid w:val="73700774"/>
    <w:rsid w:val="7428769F"/>
    <w:rsid w:val="7512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2"/>
      <w:ind w:left="120" w:right="181"/>
      <w:jc w:val="both"/>
    </w:pPr>
    <w:rPr>
      <w:sz w:val="21"/>
      <w:szCs w:val="21"/>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autoRedefine/>
    <w:qFormat/>
    <w:uiPriority w:val="99"/>
    <w:pPr>
      <w:spacing w:after="0"/>
      <w:ind w:firstLine="420" w:firstLineChars="100"/>
    </w:pPr>
    <w:rPr>
      <w:rFonts w:ascii="仿宋_GB2312" w:hAnsi="Calibri" w:eastAsia="仿宋_GB2312" w:cs="Times New Roman"/>
      <w:sz w:val="32"/>
      <w:szCs w:val="20"/>
      <w:lang w:val="zh-CN"/>
    </w:rPr>
  </w:style>
  <w:style w:type="table" w:styleId="8">
    <w:name w:val="Table Grid"/>
    <w:basedOn w:val="7"/>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15"/>
    <w:autoRedefine/>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1379</Words>
  <Characters>1399</Characters>
  <Lines>2</Lines>
  <Paragraphs>1</Paragraphs>
  <TotalTime>1</TotalTime>
  <ScaleCrop>false</ScaleCrop>
  <LinksUpToDate>false</LinksUpToDate>
  <CharactersWithSpaces>1414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2022-07-09T14:13:00Z</dcterms:created>
  <dc:creator>马艺</dc:creator>
  <cp:lastModifiedBy>旅雁</cp:lastModifiedBy>
  <dcterms:modified xsi:type="dcterms:W3CDTF">2024-03-21T08:04:22Z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472C1BF8D650449AAECD6B65C90862F4_13</vt:lpwstr>
  </property>
</Properties>
</file>