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CF8A" w14:textId="77777777" w:rsidR="00CA5772" w:rsidRDefault="00CA5772">
      <w:pPr>
        <w:ind w:firstLineChars="200" w:firstLine="883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p w14:paraId="5001D20D" w14:textId="77777777" w:rsidR="00CA5772" w:rsidRDefault="00CA5772">
      <w:pPr>
        <w:ind w:firstLineChars="200" w:firstLine="883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p w14:paraId="70E40C5E" w14:textId="77777777" w:rsidR="00CA5772" w:rsidRDefault="00CA5772">
      <w:pPr>
        <w:ind w:firstLineChars="200" w:firstLine="883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p w14:paraId="77BB7592" w14:textId="77777777" w:rsidR="00CA5772" w:rsidRDefault="00AC470F">
      <w:pPr>
        <w:jc w:val="center"/>
        <w:rPr>
          <w:rFonts w:ascii="仿宋_GB2312" w:eastAsia="仿宋_GB2312" w:hAnsiTheme="minorEastAsia"/>
          <w:b/>
          <w:sz w:val="72"/>
          <w:szCs w:val="72"/>
        </w:rPr>
      </w:pPr>
      <w:r>
        <w:rPr>
          <w:rFonts w:ascii="仿宋_GB2312" w:eastAsia="仿宋_GB2312" w:hAnsiTheme="minorEastAsia" w:hint="eastAsia"/>
          <w:b/>
          <w:sz w:val="72"/>
          <w:szCs w:val="72"/>
        </w:rPr>
        <w:t xml:space="preserve"> 西安高新科技职业学院</w:t>
      </w:r>
    </w:p>
    <w:p w14:paraId="6D9A52F4" w14:textId="77777777" w:rsidR="00CA5772" w:rsidRDefault="00CA5772">
      <w:pPr>
        <w:ind w:firstLineChars="200" w:firstLine="883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p w14:paraId="546D50A7" w14:textId="77777777" w:rsidR="00CA5772" w:rsidRDefault="00CA5772">
      <w:pPr>
        <w:ind w:firstLineChars="200" w:firstLine="883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p w14:paraId="00BBF3CF" w14:textId="77777777" w:rsidR="00CA5772" w:rsidRDefault="00CA5772">
      <w:pPr>
        <w:ind w:firstLineChars="200" w:firstLine="883"/>
        <w:jc w:val="center"/>
        <w:rPr>
          <w:rFonts w:ascii="仿宋_GB2312" w:eastAsia="仿宋_GB2312" w:hAnsiTheme="minorEastAsia"/>
          <w:b/>
          <w:sz w:val="44"/>
          <w:szCs w:val="44"/>
        </w:rPr>
      </w:pPr>
    </w:p>
    <w:p w14:paraId="4584F735" w14:textId="77777777" w:rsidR="00CA5772" w:rsidRDefault="00CA5772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1D4E1AD6" w14:textId="32F74A76" w:rsidR="00CA5772" w:rsidRDefault="00AC470F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ascii="仿宋_GB2312" w:eastAsia="仿宋_GB2312" w:hAnsiTheme="minorEastAsia" w:hint="eastAsia"/>
          <w:b/>
          <w:sz w:val="44"/>
          <w:szCs w:val="44"/>
        </w:rPr>
        <w:t>专业建设规划</w:t>
      </w:r>
    </w:p>
    <w:p w14:paraId="0DC9AD8E" w14:textId="53F05D38" w:rsidR="00CA5772" w:rsidRDefault="00AC470F" w:rsidP="00AC470F">
      <w:pPr>
        <w:ind w:firstLineChars="650" w:firstLine="2871"/>
        <w:rPr>
          <w:rFonts w:ascii="仿宋_GB2312" w:eastAsia="仿宋_GB2312" w:hAnsiTheme="minorEastAsia"/>
          <w:b/>
          <w:sz w:val="44"/>
          <w:szCs w:val="44"/>
        </w:rPr>
      </w:pPr>
      <w:r>
        <w:rPr>
          <w:rFonts w:ascii="仿宋_GB2312" w:eastAsia="仿宋_GB2312" w:hAnsiTheme="minorEastAsia" w:hint="eastAsia"/>
          <w:b/>
          <w:sz w:val="44"/>
          <w:szCs w:val="44"/>
        </w:rPr>
        <w:t>（2016-2020）</w:t>
      </w:r>
    </w:p>
    <w:p w14:paraId="47350AB4" w14:textId="58E881AB" w:rsidR="00AC470F" w:rsidRDefault="00AC470F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6AC354A3" w14:textId="6292D10C" w:rsidR="00AC470F" w:rsidRDefault="00AC470F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356A9F6A" w14:textId="7D5591B0" w:rsidR="00AC470F" w:rsidRDefault="00AC470F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56C31621" w14:textId="1534E04F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288DF4E4" w14:textId="68F89F86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250CC993" w14:textId="769DC379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1D60E634" w14:textId="296C2C70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35F18C78" w14:textId="0EA6B1E3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2C030039" w14:textId="0A2C4B60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60544BFC" w14:textId="1CF3DF89" w:rsidR="00386229" w:rsidRDefault="00386229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52D34E34" w14:textId="77777777" w:rsidR="00386229" w:rsidRPr="00386229" w:rsidRDefault="00386229" w:rsidP="00AC470F">
      <w:pPr>
        <w:ind w:firstLineChars="700" w:firstLine="3092"/>
        <w:rPr>
          <w:rFonts w:ascii="仿宋_GB2312" w:eastAsia="仿宋_GB2312" w:hAnsiTheme="minorEastAsia" w:hint="eastAsia"/>
          <w:b/>
          <w:sz w:val="44"/>
          <w:szCs w:val="44"/>
        </w:rPr>
      </w:pPr>
      <w:bookmarkStart w:id="0" w:name="_GoBack"/>
      <w:bookmarkEnd w:id="0"/>
    </w:p>
    <w:p w14:paraId="7E113317" w14:textId="77777777" w:rsidR="00AC470F" w:rsidRPr="00AC470F" w:rsidRDefault="00AC470F" w:rsidP="00AC470F">
      <w:pPr>
        <w:ind w:firstLineChars="700" w:firstLine="3092"/>
        <w:rPr>
          <w:rFonts w:ascii="仿宋_GB2312" w:eastAsia="仿宋_GB2312" w:hAnsiTheme="minorEastAsia"/>
          <w:b/>
          <w:sz w:val="44"/>
          <w:szCs w:val="44"/>
        </w:rPr>
      </w:pPr>
    </w:p>
    <w:p w14:paraId="0D13D26B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专业建设是体现高校办学水平和特色的核心，是学科建设的基本构成单元。大学的人才培养，科学研究，社会服务都是以专业发展为基础的。为进一步提升学校核心竞争力，打造区域专业品牌影响力，全面实现“省内知名，特色鲜明”的目标，提高人才培养质量，特制定2017年-2020年专业建设规划。 </w:t>
      </w:r>
    </w:p>
    <w:p w14:paraId="4C7BFE54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一、学院2013-2016年专业建设成效</w:t>
      </w:r>
    </w:p>
    <w:p w14:paraId="4BD8C3D7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2013-2016年是学院整体战略发展的关键期，在第一阶段的四年专业发展已取得成就的基础上，2016年10月，学院召开了第四次教学工作会议。总结了上一阶段的教学成果。 </w:t>
      </w:r>
    </w:p>
    <w:p w14:paraId="55DDFB73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（一）着眼行业发展，系统调整专业布局 </w:t>
      </w:r>
    </w:p>
    <w:p w14:paraId="40045DA5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学院依据“技术技能型”办学定位，遵循“专业依托行业”原则，陆续完成了专业归属及院系调整；按照区域产业发展需求，构建了</w:t>
      </w:r>
      <w:r>
        <w:rPr>
          <w:rFonts w:ascii="楷体_GB2312" w:eastAsia="楷体_GB2312" w:hint="eastAsia"/>
          <w:sz w:val="28"/>
          <w:szCs w:val="28"/>
        </w:rPr>
        <w:t>土建类、财经类为主，机械电子类、管理类</w:t>
      </w:r>
      <w:r>
        <w:rPr>
          <w:rFonts w:ascii="仿宋_GB2312" w:eastAsia="仿宋_GB2312" w:hAnsiTheme="minorEastAsia" w:hint="eastAsia"/>
          <w:sz w:val="28"/>
          <w:szCs w:val="28"/>
        </w:rPr>
        <w:t>专业群，初步形成了紧密对接产业链的专业体系。学院依据“技术技能型”办学定位，按照“专业与行业、产业紧密对接”的原则，重新进行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了系部调整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。 </w:t>
      </w:r>
    </w:p>
    <w:p w14:paraId="028947E1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（二）创建“漏斗模型”，科学增减专业数量 </w:t>
      </w:r>
    </w:p>
    <w:p w14:paraId="67973A68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院根据行业、产业各岗位的专业人才需求，论证设置新专业和调整已办专业。每年对影响专业建设的相关因素进行梳理，按照影响力强弱，建立专业设置“漏斗模型”，对需要增设及调整的专业，进行筛选和论证。“漏斗”模型分析的主要内容包括：（1）参照行业发展趋势报告，邀请行业及学界专家对专业设置的必要性和可行性进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行论证，确定可选的专业大类。（2）参照国内外发达地区高校专业变化的趋势，分析同类院校招生数据和专业设置情况，对上述筛选结果进行验证，筛选可开设和调整的专业。（3）参照招生市场报告，了解学生报考专业的数据和趋势；根据毕业生就业调查、雇主调查，对已开设及可开设专业的就业情况按红黄绿分类；最后筛选出既是招生市场热点，又是就业市场急需的专业。（4）依据学院现有专业布局和办学资源，原则上不进入新的学科领域，初步确定开设专业或调整专业（5）最后，根据教育主管部门专业设置调控原则，确定最终开设或调整的专业。同时，成立了专业设置委员会，对以上论证结果进行评议，确定年度专业申报及调整计划。 “漏斗模型”的建立为学院近四年来的专业调整提供了有力的支撑，为学院现有专业布局的合理稳定发展奠定了基础。 </w:t>
      </w:r>
    </w:p>
    <w:p w14:paraId="2FA8A66A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对接职场需求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，创新人才培养模式 </w:t>
      </w:r>
    </w:p>
    <w:p w14:paraId="7404F9EF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为确保人才培养目标全面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对接职场需求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，学院建立人才培养方案制（修）定标准化流程。各专业以市场为导向，深入调研，基于行业岗位（群）所需核心能力，确定培养目标和编制人才培养方案，并经过分院专家委员会论证，校学术委员会审核后最终确定。 </w:t>
      </w:r>
    </w:p>
    <w:p w14:paraId="7DF54653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学院鼓励各系部结合自身专业特点，以培养学生终身职业发展能力为目标，持续创新人才培养模式。如：信息管理系与华为技术有限公司、大唐移动、中兴通讯、中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软国际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等多家行业一流企业合作，通过联合制定培养方案、企业植入课程等多元化合作模式，让学生在一流企业实现高薪就业。校企协同育人促进了学校教学质量的稳步提升，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根据麦可思调查数据，2016年我院毕业生对教学满意度比上年度提升了2个百分点。 </w:t>
      </w:r>
    </w:p>
    <w:p w14:paraId="4597CBC6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（四）引进行业师资，持续优化教师结构</w:t>
      </w:r>
    </w:p>
    <w:p w14:paraId="6B713AE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院明确要求各专业主动争取行业、企业人员参与人才培养方案的制订；确保行业、企业专家全程参与人才培养方案实施各环节，提升学生职业素养；用灵活多等级的薪酬政策吸引行业教师来校任教，不断丰富完善课程内容，更新充实真实任务和教学案例。</w:t>
      </w:r>
    </w:p>
    <w:p w14:paraId="71EC9C4E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（五）深化专业内涵，取得阶段性教学成果 </w:t>
      </w:r>
    </w:p>
    <w:p w14:paraId="1D356322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院不断推进改革，工作受到上级主管部门的高度肯定。2014年，学院顺利通过陕西省高等院校巡视诊断工作，办学理念及教育教学改革受到了专家组的高度肯定；教学质量受到了家长和考生的一致认可；学生连年在国家和省级各项竞赛中取得突破。近年来，学院的发展引起了社会各界的广泛关注。</w:t>
      </w:r>
    </w:p>
    <w:p w14:paraId="2428E08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综上所述，2013-2016年，我校的专业结构更加科学合理，整体专业内涵建设也取得了一定的成绩，但优势专业还是不够突出，专业间融合度依然不足，究其原因主要有以下几个方面：缺乏科学完善的专业动态调整机制，部分专业缺乏学科带头人，缺乏校级层面的专业融合平台建设。下一阶段，专业建设规划重点解决上述问题。 </w:t>
      </w:r>
    </w:p>
    <w:p w14:paraId="4F395D79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二、专业建设外部环境分析 </w:t>
      </w:r>
    </w:p>
    <w:p w14:paraId="66C3D607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专业的设置与发展受到政策环境、经济环境、社会环境以及技术环境的多方面影响，专业建设规划基于以上因素进行了分析，为专业建设提供了依据。 </w:t>
      </w:r>
    </w:p>
    <w:p w14:paraId="01F6BA0A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（一）政策环境分析 </w:t>
      </w:r>
    </w:p>
    <w:p w14:paraId="714BCFE5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政策环境作为高等教育发展的风向标，学院以《中共中央关于制定国民经济和社会发展第十三个五年规划的建议》、《陕西省国民经济和社会发展第十三个五年规划纲要》、《统筹推进世界一流大学和一流学科建设实施办法（暂行》、《教育部41号令--普通高等学校学生管理规定》等国家、省市教育文件精神为指导，以教育部高等教育司关于开展新工科研究与实践的通知，“六卓越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一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拔尖”计划等重要会议精神为方向，结合学院专业发展布局，确定未来专业的发展方向应对接产业、融合创新、引导优势、动态调整、机制灵活。 </w:t>
      </w:r>
    </w:p>
    <w:p w14:paraId="0473823A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（二）经济环境分析 </w:t>
      </w:r>
    </w:p>
    <w:p w14:paraId="5E57A331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深入了解区域经济发展的特征和重点领域，是学院专业建设紧密结合产业的基础，“十二五”规划期内，经济发展目标中，生产总值达到18172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万亿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元，其中服务业增加值比重达到39%，旅游业总收入达到3006亿元，文化产业增加值比重达到3.2%；陕西省“十三五”经济发展目标中，生产总值将在2020年达到3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万亿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，服务业占生产总值的比重应达到45%，互联网普及率将从2015年的48%提升至85%。对比分析陕西省“十二五”、“十三五”经济社会发展部分指标完成情况及计划，未来专业布局应更加靠近服务业、进出口贸易、智能制造类行业、文化产业以及互联网行业。 </w:t>
      </w:r>
    </w:p>
    <w:p w14:paraId="631C6A83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（三）社会环境分析 </w:t>
      </w:r>
    </w:p>
    <w:p w14:paraId="542F0A04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随着全国高考生源总量的逐年降低，学院的生源总量也有所紧缩，相对应，学院的专业数量也应合理控制，建立科学合理的动态专业调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整机制。 </w:t>
      </w:r>
    </w:p>
    <w:p w14:paraId="2BA020E8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高考录取模式的改革也成为了影响专业发展的重要因素，以高考录取模式转向专业导向的政策为引导，专业的内涵建设应持续加大力度，提升专业在同类院校、同地区的竞争力，积极培育优势专业，凸显办学特色。 </w:t>
      </w:r>
    </w:p>
    <w:p w14:paraId="391B3BE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（四）技术环境 </w:t>
      </w:r>
    </w:p>
    <w:p w14:paraId="64D4C0D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为服务地方区域经济发展，在陕西省提出的七大战略性新兴产业：节能环保产业，新一代信息技术产业，生物产业，高端装备制造业，新能源产业，新材料产业，新能源汽车产业的基础上。结合学院的应用型人才培养理念，对接产业链发展，拓展新专业领域。将新技术、新理念融入专业建设过程中。 </w:t>
      </w:r>
    </w:p>
    <w:p w14:paraId="50F5CD7E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三、专业建设的指导思想与发展目标</w:t>
      </w:r>
    </w:p>
    <w:p w14:paraId="00D9442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（一）指导思想</w:t>
      </w:r>
    </w:p>
    <w:p w14:paraId="2A1741F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以培养应用型人才为目标，学院将持续深化应用型内涵专业建设，紧密结合《陕西省教育厅2017年工作要点》、《统筹推进世界一流大学和一流学科建设实施办法》、陕西省、西安市十三五规划纲要精神，融合学院“十三五”建设规划纲要及学校“立足陕西、面向西部”的办学定位，提升学院的深度和层次，促进专业间跨界融合，实现校内智力成果的转化与输出，充分体现学院对区域经济社会发展的推动作用，承担应有的社会责任与使命。 </w:t>
      </w:r>
    </w:p>
    <w:p w14:paraId="59496483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（二）发展目标 </w:t>
      </w:r>
    </w:p>
    <w:p w14:paraId="6FA1D023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1.总体目标 （国内知名、省级一流、特色鲜明）</w:t>
      </w:r>
    </w:p>
    <w:p w14:paraId="2DBACF71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以工科专业为发展核心，其他类专业为配套支撑，结合“双一流”建设要点，力争到2020年建成具有一流专业引领，重点专业柔性融合，特色专业紧贴产业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链发展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的专业布局。全面提升办学层次，持续改进教学效果，招生录取分数线保持位列省内同类院校前列，促进学生在校期间的职业能力养成，提升学生就业竞争力，实现提供高等教育的目标。 </w:t>
      </w:r>
    </w:p>
    <w:p w14:paraId="72B4FE49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2.具体目标 </w:t>
      </w:r>
    </w:p>
    <w:p w14:paraId="248C275D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（1）专业结构目标 </w:t>
      </w:r>
    </w:p>
    <w:p w14:paraId="2FCEE38B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专业数量保持在30-35；以电子信息、土建、制造等优势专业群为基础，注重学科交叉融合及特色创新，大力助推大商科专业群的特色发展，力争到2020年，建成1-2个省级一流专业，打造2-3个优势专业群，形成专业结构布局较为合理、专业内涵建设特色突出的专业发展体系。 </w:t>
      </w:r>
    </w:p>
    <w:p w14:paraId="2EFC0D49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（2）专业内涵建设目标 </w:t>
      </w:r>
    </w:p>
    <w:p w14:paraId="16966F6E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师资建设 师资队伍是学院发展的重中之重，应紧密结合学院战略发展要求，引进国内外高水平师资，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构建多元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跨界、总量科学、结构合理、具有西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高特色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的师资队伍。深化现有师资队伍规划，增加专职教师的引进，加大对青年骨干教师的培育力度，以行业标准为参考，拓宽教师招聘渠道，选聘高层次优秀教师。加大力度建设多元结构的学科带头人队伍，发挥专业建设的引领先锋作用。每个专业组建1-2个具有高水平学科带头人的优秀教师团队，加大行业背景兼职教师的引进，到2020年，行业教师占比达到教师总量的50%。 </w:t>
      </w:r>
    </w:p>
    <w:p w14:paraId="243D947F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融合创新 技术技能型人才的培养根据各系部的专业特点、能力定位，分类制定产业和社会服务推进计划。侧重与行业企业联合培养人才，提供定制化咨询、培训等智力支持；侧重应用技术开发、研究成果转化；侧重标准制定和成果输出。各专业逐步建立具有聚合特征的交叉性课程，到2020年，力争实现跨专业组建大学生创新创业训练项目每年不少于20个，校企合作办学，校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企项目制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合作等融合项目每年不少于20项。 </w:t>
      </w:r>
    </w:p>
    <w:p w14:paraId="69769531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教学改革 学院以优秀企业的用人需求为导向，以标准化流程为保障，搭建对应产业链的专业体系，促进专业融合，制定结果导向的培养方案，建立符合市场需求的高水平课程，实现应用型人才培养的全过程管理与质量评价。课程建设方面，到2020年，优势专业与本领域内一流企业全程合作达到50%，课程全面覆盖真实案例，建设具有学院特色的课程100门。实践教学方面，省级大学生校外实践基地数提升20%，其中，与一流高端企业的合作实践基地数量达到总量的20%。教学成果推进方面，在2020年，每两年递增1-2项省级教育教学成果奖，力争建成1-2个省级教学示范中心，拟申报1个国家级教学示范中心。教学空间建设方面，到2020年，拟建成20000平方米的工程中心供师生科研、实践。 </w:t>
      </w:r>
    </w:p>
    <w:p w14:paraId="05465677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四、专业建设的具体措施 </w:t>
      </w:r>
    </w:p>
    <w:p w14:paraId="766FC8A7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（一）建立健全专业评价机制，引导专业自主动态调整 </w:t>
      </w:r>
    </w:p>
    <w:p w14:paraId="39719C1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专业评价机制是专业对接产业，良性发展的基本保障，学院将在充分调研的基础上，从培养目标、教学资源、专业教学、质量保障、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学生成就与发展、专业发展潜力以及专业特色等方面对专业进行内部评价，同时，以第一志愿填报率、就业率等指标作为红线指标对专业进行外部评价。学院层面做出年度专业诊断报告，以红线指标和综合指标结合考查的方式对专业进行有效评估，对不适应社会发展的专业实施预警，各专业以诊断报告和预警结果为依据对专业进行优化调整，促使二级学院各专业主动适应市场需求，适时进行转型调整；预警期内无改善的专业，实行选择淘汰。 </w:t>
      </w:r>
    </w:p>
    <w:p w14:paraId="567CF325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（二）集中资源培育优势专业，促进专业融合创新发展 </w:t>
      </w:r>
    </w:p>
    <w:p w14:paraId="1288AA69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集中资源建设优势专业，加强与一流企业对接的广度与深度，发挥优秀企业的高端领航作用，提升优势专业的发展定位、学生就业层次及服务产业能力。在现有计算机网络技术、机械制造及自动化、建设工程管理等校级一流专业的引导下，加大其他专业对优势专业的协同支持力度。学院整体专业布局始终保持与社会需求及行业企业发展前沿同步。强化优势专业的发展理念，培育优势专业与支撑专业融合发展的组织文化，创新优势专业与支撑专业互动融合的体系，制定优势专业与支撑专业互动的发展规划，打造两者相融合的创新平台。 </w:t>
      </w:r>
    </w:p>
    <w:p w14:paraId="1FFE3B10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（三）加大力度完善师资队伍，加速校企师资资源流转 </w:t>
      </w:r>
    </w:p>
    <w:p w14:paraId="772CA223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为适应学院与社会产业资源流转，加速教师角色开放。学院将开启“教师—企业员工”的旋转门，教师发展逐渐由校园向企业、工厂、市场迁移，以开放、应用、多元的师资队伍形态服务于面向未来的人才培养模式。“旋转门”将建立学院教师与企业员工之间的互通互换机制，校内教师可以到企业任职，承担企业项目研究及成果孵化；企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业员工来学院担任行业教师，承担真实项目任务及案例教学。通过教师角色转换，提升师资队伍的多元能力，鼓励学院教师和企业员工联合开展应用研究、项目孵化、成果转换及申请专利，实现协同创新，最终进行有社会价值的智力成果输出。 </w:t>
      </w:r>
    </w:p>
    <w:p w14:paraId="065503F1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院定期为有发展需要的教师提供职业特性分析，拓展校企轮转通道，为挂职学习的教师提供完善的制度保障。各分院开拓一流企业作为教师培养基地，推荐综合能力突出的教师进行挂职锻炼，并优化挂职任务、过程管理及结果考核。鼓励教师在专业建设、课程改革和人才培养中转化企业挂职锻炼成果。</w:t>
      </w:r>
    </w:p>
    <w:p w14:paraId="0684E555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集中力量建设教学、应用型科研及产业与社会服务的中坚项目团队，对接一流企业与行业；长远培养面向未来的青年教师队伍，为学院长期发展提供后备力量。最终建立全面支撑战略发展、重点突出、特色鲜明的师资队伍。 </w:t>
      </w:r>
    </w:p>
    <w:p w14:paraId="335EAADF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（四）深入推进教学改革落地，激发专业创新融合活力 </w:t>
      </w:r>
    </w:p>
    <w:p w14:paraId="51CE014E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1.深化人才培养目标 </w:t>
      </w:r>
    </w:p>
    <w:p w14:paraId="6714F46F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技术技能型培养目标以一流企业的行业特性、岗位职责、企业文化以及企业管理模式分析为原型，拆解出各个阶段学生应具备的能力层级，进行目标导向的阶段式培养。各专业应依据行业一流企业的用人标准确定人才培养目标，根据一流企业人力资源需求模型，明确学生毕业须获得的能力及检验能力的各项学习成果，确保学生毕业标准与一流企业的人力资源需求相匹配。 </w:t>
      </w:r>
    </w:p>
    <w:p w14:paraId="29F24421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2.优化课程建设结构 </w:t>
      </w:r>
    </w:p>
    <w:p w14:paraId="4E2C7EDA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课程建设的力度应进一步加大，体现“以学生为中心”的教育理念，以学生的学习和发展为中心，突出课程的针对性、实用性、实践性和先进性构建“以学习为中心”的课堂，从而提高学生的学习质量，使学生在知识、能力和素质上获得全面提升。校企共建的专业课程团队对企业工作岗位进行深入调查分析，将企业真实岗位的工作要求进行任务化拆解与排序，依序进行对应课程模块的设计。完成学生由课堂学习到企业任职的顺利转变。以一流企业的项目为牵引，打破课程界限，将多门课程资源进行有效整合。从专业教师队伍、平台资源、技术条件等多个方面优化课程建设。 </w:t>
      </w:r>
    </w:p>
    <w:p w14:paraId="1C0B5B5F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推行课程CEO制度，倡导各系部建设优秀的课程团队，引入丰富的教学方法，以信息化手段为依托，建立与行业发展前沿共变的真实案例库，注重交叉学科的融合，引入更多行之有效的考核评价机制，立体式考察学生的知识与能力，引导学生以应用、实践、演示、推广等形式拓展专业学习，提升学生对专业知识的综合运用能力和创新能力。到2020年，真实案例与课程教学的匹配度达到100%，形成“多元评价-全面反馈-实时改进”的课程建设模式。 </w:t>
      </w:r>
    </w:p>
    <w:p w14:paraId="7ABD0DBF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3.强化校企合作 </w:t>
      </w:r>
    </w:p>
    <w:p w14:paraId="41C5481B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加大同行业尖端企业的联合培养，建立优秀企业订单班的培养机制，将一流企业工作室、研发中心引进校园，引导学生学习及专业发展与市场前沿接轨。拓展企业工作室的深度和广度，依托一流企业的发展理念与前沿技术，引入企业真实案例，实现真实项目浸入工作室的新型学习模式，消除理论学习和技能实践的“时差”，促进学生的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专业能力对接市场前沿。在工作室模式运行成熟的基础上，整合校内外优势资源，与企业联合建立研发中心，提升师生团队的创新研发能力，将校企合作资源双向利用发展，形成学院和市场前沿的“双循环”，整体带活专业发展。校外实习实践基地应进一步拓宽范围，提升质量，从实习实践环节到就业环节进行强化培养，对学生在校的学习进行灵活化安排。 </w:t>
      </w:r>
    </w:p>
    <w:p w14:paraId="486C070E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（五）持续完善教学资源配置，支持专业教学全面发展 </w:t>
      </w:r>
    </w:p>
    <w:p w14:paraId="7357765B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学院的空间改造和建设服务于专业建设和发展。加快西咸校区建设，逐步完成西咸校区智慧化校园建设，强化教育教学条件。同时，将在2020年前完成约20000平方米的实习工坊的建设，为校企合作，工作室建立，创新创业孵化，产学发展提供更加完备的空间资源。 </w:t>
      </w:r>
    </w:p>
    <w:p w14:paraId="7D646BD4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软性建设方面，将通过在线课程，共享世界范围内的优质课程资源、教师资源和高质量的教学信息，实现“人--机”之间的双向沟通和“人--人”之间的远距离交互学习。教师与学生、学生与学生、学生与其他人之间能够利用网络的互动优势开展学习活动，让每一个学生都能自由地发挥创造力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想像力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。各专业将按照“试点先行，全面推进”的原则，建设网络资源课程库，全面支持教师在授课的过程中实时录播，同步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至学生的畅课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学习平台，为出国留学、外出实习及假期学习的学生提供与校内课程同质的网络课程，课程作业、与教师交流讨论及学业考核评价均可以通过在线方式同步完成，实现跨时空、跨区域的课程资源共享。 </w:t>
      </w:r>
    </w:p>
    <w:p w14:paraId="10899E14" w14:textId="77777777" w:rsidR="00CA5772" w:rsidRDefault="00AC470F">
      <w:pPr>
        <w:pStyle w:val="Defaul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（六）全面建立健全保障机制，推进专业建设有效落实 </w:t>
      </w:r>
    </w:p>
    <w:p w14:paraId="0A8214B3" w14:textId="77777777" w:rsidR="00CA5772" w:rsidRDefault="00AC470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专业建设的有效落实依赖于完善、健全的保障机制。在组织领导方面，学院教学委员会将定期召开专项会议审定专业建设内容，跟进专业建设进度，发布专业建设评价，动态调整专业结构。在经费方面，学院将依照专业建设发展的财务模型匹配相对应的建设经费，全面支持场地、设备、课程、师资等资源的补充和完善，保障专业建设健康可持续发展，推动专业建设有效落实。</w:t>
      </w:r>
    </w:p>
    <w:sectPr w:rsidR="00CA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401D" w14:textId="77777777" w:rsidR="008A5805" w:rsidRDefault="008A5805" w:rsidP="00386229">
      <w:r>
        <w:separator/>
      </w:r>
    </w:p>
  </w:endnote>
  <w:endnote w:type="continuationSeparator" w:id="0">
    <w:p w14:paraId="207B6674" w14:textId="77777777" w:rsidR="008A5805" w:rsidRDefault="008A5805" w:rsidP="0038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9A33" w14:textId="77777777" w:rsidR="008A5805" w:rsidRDefault="008A5805" w:rsidP="00386229">
      <w:r>
        <w:separator/>
      </w:r>
    </w:p>
  </w:footnote>
  <w:footnote w:type="continuationSeparator" w:id="0">
    <w:p w14:paraId="450F42B4" w14:textId="77777777" w:rsidR="008A5805" w:rsidRDefault="008A5805" w:rsidP="0038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FFE"/>
    <w:rsid w:val="000B1777"/>
    <w:rsid w:val="000F77A6"/>
    <w:rsid w:val="00386229"/>
    <w:rsid w:val="003D1C77"/>
    <w:rsid w:val="00413FFE"/>
    <w:rsid w:val="00511D25"/>
    <w:rsid w:val="00607F14"/>
    <w:rsid w:val="0084231D"/>
    <w:rsid w:val="008A5805"/>
    <w:rsid w:val="00AC470F"/>
    <w:rsid w:val="00C87D5A"/>
    <w:rsid w:val="00CA5772"/>
    <w:rsid w:val="00EE4299"/>
    <w:rsid w:val="03687C52"/>
    <w:rsid w:val="094B6612"/>
    <w:rsid w:val="15195097"/>
    <w:rsid w:val="16DC4031"/>
    <w:rsid w:val="1852758D"/>
    <w:rsid w:val="1F595A5A"/>
    <w:rsid w:val="263B3268"/>
    <w:rsid w:val="39B9200E"/>
    <w:rsid w:val="483C17B7"/>
    <w:rsid w:val="4BC72854"/>
    <w:rsid w:val="4EFC0F82"/>
    <w:rsid w:val="548D6BD6"/>
    <w:rsid w:val="75A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5E9F6"/>
  <w15:docId w15:val="{BFD6EAAF-EBDA-4156-99BF-8E49A8F3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47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47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xhtu</dc:creator>
  <cp:lastModifiedBy>Administrator</cp:lastModifiedBy>
  <cp:revision>8</cp:revision>
  <cp:lastPrinted>2019-11-26T07:15:00Z</cp:lastPrinted>
  <dcterms:created xsi:type="dcterms:W3CDTF">2018-12-17T02:33:00Z</dcterms:created>
  <dcterms:modified xsi:type="dcterms:W3CDTF">2019-11-27T08:29:00Z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